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18C" w:rsidRDefault="00314DF5">
      <w:pPr>
        <w:spacing w:line="360" w:lineRule="auto"/>
        <w:ind w:firstLineChars="200" w:firstLine="480"/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 w:hint="eastAsia"/>
          <w:sz w:val="24"/>
          <w:szCs w:val="32"/>
        </w:rPr>
        <w:t>根据私募排排网截止</w:t>
      </w:r>
      <w:r>
        <w:rPr>
          <w:rFonts w:ascii="Times New Roman" w:eastAsia="仿宋" w:hAnsi="Times New Roman" w:hint="eastAsia"/>
          <w:sz w:val="24"/>
          <w:szCs w:val="32"/>
        </w:rPr>
        <w:t>2021</w:t>
      </w:r>
      <w:r>
        <w:rPr>
          <w:rFonts w:ascii="Times New Roman" w:eastAsia="仿宋" w:hAnsi="Times New Roman" w:hint="eastAsia"/>
          <w:sz w:val="24"/>
          <w:szCs w:val="32"/>
        </w:rPr>
        <w:t>年</w:t>
      </w:r>
      <w:r>
        <w:rPr>
          <w:rFonts w:ascii="Times New Roman" w:eastAsia="仿宋" w:hAnsi="Times New Roman" w:hint="eastAsia"/>
          <w:sz w:val="24"/>
          <w:szCs w:val="32"/>
        </w:rPr>
        <w:t>12</w:t>
      </w:r>
      <w:r>
        <w:rPr>
          <w:rFonts w:ascii="Times New Roman" w:eastAsia="仿宋" w:hAnsi="Times New Roman" w:hint="eastAsia"/>
          <w:sz w:val="24"/>
          <w:szCs w:val="32"/>
        </w:rPr>
        <w:t>月</w:t>
      </w:r>
      <w:r>
        <w:rPr>
          <w:rFonts w:ascii="Times New Roman" w:eastAsia="仿宋" w:hAnsi="Times New Roman" w:hint="eastAsia"/>
          <w:sz w:val="24"/>
          <w:szCs w:val="32"/>
        </w:rPr>
        <w:t>31</w:t>
      </w:r>
      <w:r>
        <w:rPr>
          <w:rFonts w:ascii="Times New Roman" w:eastAsia="仿宋" w:hAnsi="Times New Roman" w:hint="eastAsia"/>
          <w:sz w:val="24"/>
          <w:szCs w:val="32"/>
        </w:rPr>
        <w:t>日数据，</w:t>
      </w:r>
      <w:r>
        <w:rPr>
          <w:rFonts w:ascii="Times New Roman" w:eastAsia="仿宋" w:hAnsi="Times New Roman" w:hint="eastAsia"/>
          <w:sz w:val="24"/>
          <w:szCs w:val="32"/>
        </w:rPr>
        <w:t>2021</w:t>
      </w:r>
      <w:r>
        <w:rPr>
          <w:rFonts w:ascii="Times New Roman" w:eastAsia="仿宋" w:hAnsi="Times New Roman" w:hint="eastAsia"/>
          <w:sz w:val="24"/>
          <w:szCs w:val="32"/>
        </w:rPr>
        <w:t>年度收益率超过</w:t>
      </w:r>
      <w:r>
        <w:rPr>
          <w:rFonts w:ascii="Times New Roman" w:eastAsia="仿宋" w:hAnsi="Times New Roman" w:hint="eastAsia"/>
          <w:sz w:val="24"/>
          <w:szCs w:val="32"/>
        </w:rPr>
        <w:t>30%</w:t>
      </w:r>
      <w:r>
        <w:rPr>
          <w:rFonts w:ascii="Times New Roman" w:eastAsia="仿宋" w:hAnsi="Times New Roman" w:hint="eastAsia"/>
          <w:sz w:val="24"/>
          <w:szCs w:val="32"/>
        </w:rPr>
        <w:t>的私募量化多头选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股产品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共</w:t>
      </w:r>
      <w:r>
        <w:rPr>
          <w:rFonts w:ascii="Times New Roman" w:eastAsia="仿宋" w:hAnsi="Times New Roman" w:hint="eastAsia"/>
          <w:sz w:val="24"/>
          <w:szCs w:val="32"/>
        </w:rPr>
        <w:t>218</w:t>
      </w:r>
      <w:r>
        <w:rPr>
          <w:rFonts w:ascii="Times New Roman" w:eastAsia="仿宋" w:hAnsi="Times New Roman" w:hint="eastAsia"/>
          <w:sz w:val="24"/>
          <w:szCs w:val="32"/>
        </w:rPr>
        <w:t>只。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其中管理规模超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100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亿的私募发行的产品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95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只，占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43.5%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；</w:t>
      </w:r>
      <w:r>
        <w:rPr>
          <w:rFonts w:ascii="Times New Roman" w:eastAsia="仿宋" w:hAnsi="Times New Roman" w:hint="eastAsia"/>
          <w:sz w:val="24"/>
          <w:szCs w:val="32"/>
        </w:rPr>
        <w:t>50-100</w:t>
      </w:r>
      <w:r>
        <w:rPr>
          <w:rFonts w:ascii="Times New Roman" w:eastAsia="仿宋" w:hAnsi="Times New Roman" w:hint="eastAsia"/>
          <w:sz w:val="24"/>
          <w:szCs w:val="32"/>
        </w:rPr>
        <w:t>亿</w:t>
      </w:r>
      <w:r>
        <w:rPr>
          <w:rFonts w:ascii="Times New Roman" w:eastAsia="仿宋" w:hAnsi="Times New Roman" w:hint="eastAsia"/>
          <w:sz w:val="24"/>
          <w:szCs w:val="32"/>
        </w:rPr>
        <w:t>12</w:t>
      </w:r>
      <w:r>
        <w:rPr>
          <w:rFonts w:ascii="Times New Roman" w:eastAsia="仿宋" w:hAnsi="Times New Roman" w:hint="eastAsia"/>
          <w:sz w:val="24"/>
          <w:szCs w:val="32"/>
        </w:rPr>
        <w:t>只，占比</w:t>
      </w:r>
      <w:r>
        <w:rPr>
          <w:rFonts w:ascii="Times New Roman" w:eastAsia="仿宋" w:hAnsi="Times New Roman" w:hint="eastAsia"/>
          <w:sz w:val="24"/>
          <w:szCs w:val="32"/>
        </w:rPr>
        <w:t>5.5%</w:t>
      </w:r>
      <w:r>
        <w:rPr>
          <w:rFonts w:ascii="Times New Roman" w:eastAsia="仿宋" w:hAnsi="Times New Roman" w:hint="eastAsia"/>
          <w:sz w:val="24"/>
          <w:szCs w:val="32"/>
        </w:rPr>
        <w:t>；</w:t>
      </w:r>
      <w:r>
        <w:rPr>
          <w:rFonts w:ascii="Times New Roman" w:eastAsia="仿宋" w:hAnsi="Times New Roman" w:hint="eastAsia"/>
          <w:sz w:val="24"/>
          <w:szCs w:val="32"/>
        </w:rPr>
        <w:t>20-50</w:t>
      </w:r>
      <w:r>
        <w:rPr>
          <w:rFonts w:ascii="Times New Roman" w:eastAsia="仿宋" w:hAnsi="Times New Roman" w:hint="eastAsia"/>
          <w:sz w:val="24"/>
          <w:szCs w:val="32"/>
        </w:rPr>
        <w:t>亿</w:t>
      </w:r>
      <w:r>
        <w:rPr>
          <w:rFonts w:ascii="Times New Roman" w:eastAsia="仿宋" w:hAnsi="Times New Roman" w:hint="eastAsia"/>
          <w:sz w:val="24"/>
          <w:szCs w:val="32"/>
        </w:rPr>
        <w:t>28</w:t>
      </w:r>
      <w:r>
        <w:rPr>
          <w:rFonts w:ascii="Times New Roman" w:eastAsia="仿宋" w:hAnsi="Times New Roman" w:hint="eastAsia"/>
          <w:sz w:val="24"/>
          <w:szCs w:val="32"/>
        </w:rPr>
        <w:t>只，占比</w:t>
      </w:r>
      <w:r>
        <w:rPr>
          <w:rFonts w:ascii="Times New Roman" w:eastAsia="仿宋" w:hAnsi="Times New Roman" w:hint="eastAsia"/>
          <w:sz w:val="24"/>
          <w:szCs w:val="32"/>
        </w:rPr>
        <w:t>12.8%</w:t>
      </w:r>
      <w:r>
        <w:rPr>
          <w:rFonts w:ascii="Times New Roman" w:eastAsia="仿宋" w:hAnsi="Times New Roman" w:hint="eastAsia"/>
          <w:sz w:val="24"/>
          <w:szCs w:val="32"/>
        </w:rPr>
        <w:t>；</w:t>
      </w:r>
      <w:r>
        <w:rPr>
          <w:rFonts w:ascii="Times New Roman" w:eastAsia="仿宋" w:hAnsi="Times New Roman" w:hint="eastAsia"/>
          <w:sz w:val="24"/>
          <w:szCs w:val="32"/>
        </w:rPr>
        <w:t>10-20</w:t>
      </w:r>
      <w:r>
        <w:rPr>
          <w:rFonts w:ascii="Times New Roman" w:eastAsia="仿宋" w:hAnsi="Times New Roman" w:hint="eastAsia"/>
          <w:sz w:val="24"/>
          <w:szCs w:val="32"/>
        </w:rPr>
        <w:t>亿</w:t>
      </w:r>
      <w:r>
        <w:rPr>
          <w:rFonts w:ascii="Times New Roman" w:eastAsia="仿宋" w:hAnsi="Times New Roman" w:hint="eastAsia"/>
          <w:sz w:val="24"/>
          <w:szCs w:val="32"/>
        </w:rPr>
        <w:t>14</w:t>
      </w:r>
      <w:r>
        <w:rPr>
          <w:rFonts w:ascii="Times New Roman" w:eastAsia="仿宋" w:hAnsi="Times New Roman" w:hint="eastAsia"/>
          <w:sz w:val="24"/>
          <w:szCs w:val="32"/>
        </w:rPr>
        <w:t>只，占比</w:t>
      </w:r>
      <w:r>
        <w:rPr>
          <w:rFonts w:ascii="Times New Roman" w:eastAsia="仿宋" w:hAnsi="Times New Roman" w:hint="eastAsia"/>
          <w:sz w:val="24"/>
          <w:szCs w:val="32"/>
        </w:rPr>
        <w:t>6.4%</w:t>
      </w:r>
      <w:r>
        <w:rPr>
          <w:rFonts w:ascii="Times New Roman" w:eastAsia="仿宋" w:hAnsi="Times New Roman" w:hint="eastAsia"/>
          <w:sz w:val="24"/>
          <w:szCs w:val="32"/>
        </w:rPr>
        <w:t>；</w:t>
      </w:r>
      <w:r>
        <w:rPr>
          <w:rFonts w:ascii="Times New Roman" w:eastAsia="仿宋" w:hAnsi="Times New Roman" w:hint="eastAsia"/>
          <w:sz w:val="24"/>
          <w:szCs w:val="32"/>
        </w:rPr>
        <w:t>5-10</w:t>
      </w:r>
      <w:r>
        <w:rPr>
          <w:rFonts w:ascii="Times New Roman" w:eastAsia="仿宋" w:hAnsi="Times New Roman" w:hint="eastAsia"/>
          <w:sz w:val="24"/>
          <w:szCs w:val="32"/>
        </w:rPr>
        <w:t>亿</w:t>
      </w:r>
      <w:r>
        <w:rPr>
          <w:rFonts w:ascii="Times New Roman" w:eastAsia="仿宋" w:hAnsi="Times New Roman" w:hint="eastAsia"/>
          <w:sz w:val="24"/>
          <w:szCs w:val="32"/>
        </w:rPr>
        <w:t>11</w:t>
      </w:r>
      <w:r>
        <w:rPr>
          <w:rFonts w:ascii="Times New Roman" w:eastAsia="仿宋" w:hAnsi="Times New Roman" w:hint="eastAsia"/>
          <w:sz w:val="24"/>
          <w:szCs w:val="32"/>
        </w:rPr>
        <w:t>只，占比</w:t>
      </w:r>
      <w:r>
        <w:rPr>
          <w:rFonts w:ascii="Times New Roman" w:eastAsia="仿宋" w:hAnsi="Times New Roman" w:hint="eastAsia"/>
          <w:sz w:val="24"/>
          <w:szCs w:val="32"/>
        </w:rPr>
        <w:t>5.0%</w:t>
      </w:r>
      <w:r>
        <w:rPr>
          <w:rFonts w:ascii="Times New Roman" w:eastAsia="仿宋" w:hAnsi="Times New Roman" w:hint="eastAsia"/>
          <w:sz w:val="24"/>
          <w:szCs w:val="32"/>
        </w:rPr>
        <w:t>；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管理规模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0-5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亿起步阶段私募产品共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58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只，占比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26.6%</w:t>
      </w:r>
      <w:r>
        <w:rPr>
          <w:rFonts w:ascii="Times New Roman" w:eastAsia="仿宋" w:hAnsi="Times New Roman" w:hint="eastAsia"/>
          <w:sz w:val="24"/>
          <w:szCs w:val="32"/>
        </w:rPr>
        <w:t>（具体产品占比如下图</w:t>
      </w:r>
      <w:r>
        <w:rPr>
          <w:rFonts w:ascii="Times New Roman" w:eastAsia="仿宋" w:hAnsi="Times New Roman" w:hint="eastAsia"/>
          <w:sz w:val="24"/>
          <w:szCs w:val="32"/>
        </w:rPr>
        <w:t>1</w:t>
      </w:r>
      <w:r>
        <w:rPr>
          <w:rFonts w:ascii="Times New Roman" w:eastAsia="仿宋" w:hAnsi="Times New Roman" w:hint="eastAsia"/>
          <w:sz w:val="24"/>
          <w:szCs w:val="32"/>
        </w:rPr>
        <w:t>所示）。</w:t>
      </w:r>
    </w:p>
    <w:p w:rsidR="00B3218C" w:rsidRDefault="00B3218C">
      <w:pPr>
        <w:spacing w:line="360" w:lineRule="auto"/>
        <w:ind w:firstLineChars="200" w:firstLine="480"/>
        <w:rPr>
          <w:rFonts w:ascii="Times New Roman" w:eastAsia="仿宋" w:hAnsi="Times New Roman"/>
          <w:sz w:val="24"/>
          <w:szCs w:val="32"/>
        </w:rPr>
      </w:pPr>
    </w:p>
    <w:p w:rsidR="00B3218C" w:rsidRDefault="00314DF5">
      <w:pPr>
        <w:ind w:firstLineChars="200" w:firstLine="482"/>
        <w:jc w:val="center"/>
        <w:rPr>
          <w:rFonts w:ascii="Times New Roman" w:eastAsia="仿宋" w:hAnsi="Times New Roman"/>
          <w:b/>
          <w:bCs/>
          <w:sz w:val="24"/>
          <w:szCs w:val="32"/>
        </w:rPr>
      </w:pPr>
      <w:r>
        <w:rPr>
          <w:rFonts w:ascii="Times New Roman" w:eastAsia="仿宋" w:hAnsi="Times New Roman" w:hint="eastAsia"/>
          <w:b/>
          <w:bCs/>
          <w:sz w:val="24"/>
          <w:szCs w:val="32"/>
        </w:rPr>
        <w:t>图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：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2021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年度，超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30% YTD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收益私募量化多头产品占比分布</w:t>
      </w:r>
    </w:p>
    <w:p w:rsidR="00B3218C" w:rsidRDefault="00314DF5">
      <w:pPr>
        <w:jc w:val="center"/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/>
          <w:noProof/>
          <w:sz w:val="24"/>
          <w:szCs w:val="32"/>
        </w:rPr>
        <w:drawing>
          <wp:inline distT="0" distB="0" distL="114300" distR="114300">
            <wp:extent cx="4570730" cy="2743200"/>
            <wp:effectExtent l="4445" t="4445" r="12065" b="10795"/>
            <wp:docPr id="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3218C" w:rsidRDefault="00314DF5">
      <w:pPr>
        <w:ind w:firstLineChars="200" w:firstLine="482"/>
        <w:jc w:val="center"/>
        <w:rPr>
          <w:rFonts w:ascii="Times New Roman" w:eastAsia="仿宋" w:hAnsi="Times New Roman"/>
          <w:b/>
          <w:bCs/>
          <w:sz w:val="24"/>
          <w:szCs w:val="32"/>
        </w:rPr>
      </w:pPr>
      <w:r>
        <w:rPr>
          <w:rFonts w:ascii="Times New Roman" w:eastAsia="仿宋" w:hAnsi="Times New Roman" w:hint="eastAsia"/>
          <w:b/>
          <w:bCs/>
          <w:sz w:val="24"/>
          <w:szCs w:val="32"/>
        </w:rPr>
        <w:t>图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2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：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2021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年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12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月，相较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11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月份收益率下滑至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30%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以下的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17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只产品</w:t>
      </w:r>
    </w:p>
    <w:p w:rsidR="00B3218C" w:rsidRDefault="00314DF5">
      <w:pPr>
        <w:jc w:val="center"/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/>
          <w:noProof/>
          <w:sz w:val="24"/>
          <w:szCs w:val="32"/>
        </w:rPr>
        <w:drawing>
          <wp:inline distT="0" distB="0" distL="114300" distR="114300">
            <wp:extent cx="5268595" cy="1882140"/>
            <wp:effectExtent l="0" t="0" r="444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8C" w:rsidRDefault="00314DF5">
      <w:pPr>
        <w:spacing w:line="360" w:lineRule="auto"/>
        <w:ind w:firstLineChars="200" w:firstLine="480"/>
        <w:rPr>
          <w:rFonts w:ascii="Times New Roman" w:eastAsia="仿宋" w:hAnsi="Times New Roman"/>
          <w:b/>
          <w:bCs/>
        </w:rPr>
      </w:pPr>
      <w:r>
        <w:rPr>
          <w:rFonts w:ascii="Times New Roman" w:eastAsia="仿宋" w:hAnsi="Times New Roman" w:hint="eastAsia"/>
          <w:sz w:val="24"/>
          <w:szCs w:val="32"/>
        </w:rPr>
        <w:t>相较于</w:t>
      </w:r>
      <w:r>
        <w:rPr>
          <w:rFonts w:ascii="Times New Roman" w:eastAsia="仿宋" w:hAnsi="Times New Roman" w:hint="eastAsia"/>
          <w:sz w:val="24"/>
          <w:szCs w:val="32"/>
        </w:rPr>
        <w:t>11</w:t>
      </w:r>
      <w:r>
        <w:rPr>
          <w:rFonts w:ascii="Times New Roman" w:eastAsia="仿宋" w:hAnsi="Times New Roman" w:hint="eastAsia"/>
          <w:sz w:val="24"/>
          <w:szCs w:val="32"/>
        </w:rPr>
        <w:t>月份，该</w:t>
      </w:r>
      <w:r>
        <w:rPr>
          <w:rFonts w:ascii="Times New Roman" w:eastAsia="仿宋" w:hAnsi="Times New Roman" w:hint="eastAsia"/>
          <w:sz w:val="24"/>
          <w:szCs w:val="32"/>
        </w:rPr>
        <w:t>218</w:t>
      </w:r>
      <w:r>
        <w:rPr>
          <w:rFonts w:ascii="Times New Roman" w:eastAsia="仿宋" w:hAnsi="Times New Roman" w:hint="eastAsia"/>
          <w:sz w:val="24"/>
          <w:szCs w:val="32"/>
        </w:rPr>
        <w:t>只全年收益率维持在</w:t>
      </w:r>
      <w:r>
        <w:rPr>
          <w:rFonts w:ascii="Times New Roman" w:eastAsia="仿宋" w:hAnsi="Times New Roman" w:hint="eastAsia"/>
          <w:sz w:val="24"/>
          <w:szCs w:val="32"/>
        </w:rPr>
        <w:t>30%</w:t>
      </w:r>
      <w:r>
        <w:rPr>
          <w:rFonts w:ascii="Times New Roman" w:eastAsia="仿宋" w:hAnsi="Times New Roman" w:hint="eastAsia"/>
          <w:sz w:val="24"/>
          <w:szCs w:val="32"/>
        </w:rPr>
        <w:t>以上私募量化多头策略产品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12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月度平均收益率下降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0.42%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，该策略整体经历了一定幅度的回撤，某些产品包括百亿龙头甚至出现了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2021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年度最大回撤（发生于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12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月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24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日）。另有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17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只产品相较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11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月份，收益跌至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30%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以下，其平均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12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月回撤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6.97%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，如上图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2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所示（</w:t>
      </w:r>
      <w:proofErr w:type="gramStart"/>
      <w:r>
        <w:rPr>
          <w:rFonts w:ascii="Times New Roman" w:eastAsia="仿宋" w:hAnsi="Times New Roman" w:hint="eastAsia"/>
          <w:b/>
          <w:bCs/>
          <w:sz w:val="24"/>
          <w:szCs w:val="32"/>
        </w:rPr>
        <w:t>其中源晖投资</w:t>
      </w:r>
      <w:proofErr w:type="gramEnd"/>
      <w:r>
        <w:rPr>
          <w:rFonts w:ascii="Times New Roman" w:eastAsia="仿宋" w:hAnsi="Times New Roman" w:hint="eastAsia"/>
          <w:b/>
          <w:bCs/>
          <w:sz w:val="24"/>
          <w:szCs w:val="32"/>
        </w:rPr>
        <w:t>的产品——</w:t>
      </w:r>
      <w:proofErr w:type="gramStart"/>
      <w:r>
        <w:rPr>
          <w:rFonts w:ascii="Times New Roman" w:eastAsia="仿宋" w:hAnsi="Times New Roman" w:hint="eastAsia"/>
          <w:b/>
          <w:bCs/>
          <w:sz w:val="24"/>
          <w:szCs w:val="32"/>
        </w:rPr>
        <w:t>源晖科技</w:t>
      </w:r>
      <w:proofErr w:type="gramEnd"/>
      <w:r>
        <w:rPr>
          <w:rFonts w:ascii="Times New Roman" w:eastAsia="仿宋" w:hAnsi="Times New Roman" w:hint="eastAsia"/>
          <w:b/>
          <w:bCs/>
          <w:sz w:val="24"/>
          <w:szCs w:val="32"/>
        </w:rPr>
        <w:t>成长阿尔法甚至出现了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47.91%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的巨幅回撤）。</w:t>
      </w:r>
    </w:p>
    <w:p w:rsidR="00B3218C" w:rsidRDefault="00314DF5">
      <w:pPr>
        <w:spacing w:line="360" w:lineRule="auto"/>
        <w:ind w:firstLineChars="200" w:firstLine="482"/>
        <w:jc w:val="center"/>
        <w:rPr>
          <w:rFonts w:ascii="Times New Roman" w:eastAsia="仿宋" w:hAnsi="Times New Roman"/>
          <w:b/>
          <w:bCs/>
          <w:sz w:val="24"/>
          <w:szCs w:val="32"/>
        </w:rPr>
      </w:pPr>
      <w:r>
        <w:rPr>
          <w:rFonts w:ascii="Times New Roman" w:eastAsia="仿宋" w:hAnsi="Times New Roman" w:hint="eastAsia"/>
          <w:b/>
          <w:bCs/>
          <w:sz w:val="24"/>
          <w:szCs w:val="32"/>
        </w:rPr>
        <w:lastRenderedPageBreak/>
        <w:t>表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 xml:space="preserve">1 </w:t>
      </w:r>
      <w:proofErr w:type="gramStart"/>
      <w:r>
        <w:rPr>
          <w:rFonts w:ascii="Times New Roman" w:eastAsia="仿宋" w:hAnsi="Times New Roman" w:hint="eastAsia"/>
          <w:b/>
          <w:bCs/>
          <w:sz w:val="24"/>
          <w:szCs w:val="32"/>
        </w:rPr>
        <w:t>分规模</w:t>
      </w:r>
      <w:proofErr w:type="gramEnd"/>
      <w:r>
        <w:rPr>
          <w:rFonts w:ascii="Times New Roman" w:eastAsia="仿宋" w:hAnsi="Times New Roman" w:hint="eastAsia"/>
          <w:b/>
          <w:bCs/>
          <w:sz w:val="24"/>
          <w:szCs w:val="32"/>
        </w:rPr>
        <w:t>私募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12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月度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YTD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平均变动额</w:t>
      </w:r>
    </w:p>
    <w:p w:rsidR="00B3218C" w:rsidRDefault="00314DF5">
      <w:pPr>
        <w:spacing w:line="360" w:lineRule="auto"/>
        <w:jc w:val="center"/>
        <w:rPr>
          <w:rFonts w:ascii="Times New Roman" w:eastAsia="仿宋" w:hAnsi="Times New Roman"/>
          <w:b/>
          <w:bCs/>
          <w:sz w:val="24"/>
          <w:szCs w:val="32"/>
        </w:rPr>
      </w:pPr>
      <w:r>
        <w:rPr>
          <w:rFonts w:ascii="Times New Roman" w:eastAsia="仿宋" w:hAnsi="Times New Roman"/>
          <w:noProof/>
          <w:sz w:val="24"/>
          <w:szCs w:val="32"/>
        </w:rPr>
        <w:drawing>
          <wp:inline distT="0" distB="0" distL="114300" distR="114300">
            <wp:extent cx="5273040" cy="1401445"/>
            <wp:effectExtent l="0" t="0" r="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8C" w:rsidRDefault="00314DF5">
      <w:pPr>
        <w:spacing w:line="360" w:lineRule="auto"/>
        <w:ind w:firstLineChars="200" w:firstLine="480"/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 w:hint="eastAsia"/>
          <w:sz w:val="24"/>
          <w:szCs w:val="32"/>
        </w:rPr>
        <w:t>如上表</w:t>
      </w:r>
      <w:r>
        <w:rPr>
          <w:rFonts w:ascii="Times New Roman" w:eastAsia="仿宋" w:hAnsi="Times New Roman" w:hint="eastAsia"/>
          <w:sz w:val="24"/>
          <w:szCs w:val="32"/>
        </w:rPr>
        <w:t>1</w:t>
      </w:r>
      <w:r>
        <w:rPr>
          <w:rFonts w:ascii="Times New Roman" w:eastAsia="仿宋" w:hAnsi="Times New Roman" w:hint="eastAsia"/>
          <w:sz w:val="24"/>
          <w:szCs w:val="32"/>
        </w:rPr>
        <w:t>所示，从分项数据看，</w:t>
      </w:r>
      <w:r>
        <w:rPr>
          <w:rFonts w:ascii="Times New Roman" w:eastAsia="仿宋" w:hAnsi="Times New Roman" w:hint="eastAsia"/>
          <w:sz w:val="24"/>
          <w:szCs w:val="32"/>
        </w:rPr>
        <w:t>12</w:t>
      </w:r>
      <w:r>
        <w:rPr>
          <w:rFonts w:ascii="Times New Roman" w:eastAsia="仿宋" w:hAnsi="Times New Roman" w:hint="eastAsia"/>
          <w:sz w:val="24"/>
          <w:szCs w:val="32"/>
        </w:rPr>
        <w:t>月度，百亿私募</w:t>
      </w:r>
      <w:r>
        <w:rPr>
          <w:rFonts w:ascii="Times New Roman" w:eastAsia="仿宋" w:hAnsi="Times New Roman" w:hint="eastAsia"/>
          <w:sz w:val="24"/>
          <w:szCs w:val="32"/>
        </w:rPr>
        <w:t>YTD</w:t>
      </w:r>
      <w:r>
        <w:rPr>
          <w:rFonts w:ascii="Times New Roman" w:eastAsia="仿宋" w:hAnsi="Times New Roman" w:hint="eastAsia"/>
          <w:sz w:val="24"/>
          <w:szCs w:val="32"/>
        </w:rPr>
        <w:t>平均回撤</w:t>
      </w:r>
      <w:r>
        <w:rPr>
          <w:rFonts w:ascii="Times New Roman" w:eastAsia="仿宋" w:hAnsi="Times New Roman" w:hint="eastAsia"/>
          <w:sz w:val="24"/>
          <w:szCs w:val="32"/>
        </w:rPr>
        <w:t>1.22%</w:t>
      </w:r>
      <w:r>
        <w:rPr>
          <w:rFonts w:ascii="Times New Roman" w:eastAsia="仿宋" w:hAnsi="Times New Roman" w:hint="eastAsia"/>
          <w:sz w:val="24"/>
          <w:szCs w:val="32"/>
        </w:rPr>
        <w:t>；</w:t>
      </w:r>
      <w:r>
        <w:rPr>
          <w:rFonts w:ascii="Times New Roman" w:eastAsia="仿宋" w:hAnsi="Times New Roman" w:hint="eastAsia"/>
          <w:sz w:val="24"/>
          <w:szCs w:val="32"/>
        </w:rPr>
        <w:t>50-100</w:t>
      </w:r>
      <w:r>
        <w:rPr>
          <w:rFonts w:ascii="Times New Roman" w:eastAsia="仿宋" w:hAnsi="Times New Roman" w:hint="eastAsia"/>
          <w:sz w:val="24"/>
          <w:szCs w:val="32"/>
        </w:rPr>
        <w:t>亿私募平均上升</w:t>
      </w:r>
      <w:r>
        <w:rPr>
          <w:rFonts w:ascii="Times New Roman" w:eastAsia="仿宋" w:hAnsi="Times New Roman" w:hint="eastAsia"/>
          <w:sz w:val="24"/>
          <w:szCs w:val="32"/>
        </w:rPr>
        <w:t>5.39%</w:t>
      </w:r>
      <w:r>
        <w:rPr>
          <w:rFonts w:ascii="Times New Roman" w:eastAsia="仿宋" w:hAnsi="Times New Roman" w:hint="eastAsia"/>
          <w:sz w:val="24"/>
          <w:szCs w:val="32"/>
        </w:rPr>
        <w:t>（除去极大值——国恩</w:t>
      </w:r>
      <w:r>
        <w:rPr>
          <w:rFonts w:ascii="Times New Roman" w:eastAsia="仿宋" w:hAnsi="Times New Roman" w:hint="eastAsia"/>
          <w:sz w:val="24"/>
          <w:szCs w:val="32"/>
        </w:rPr>
        <w:t>AI</w:t>
      </w:r>
      <w:r>
        <w:rPr>
          <w:rFonts w:ascii="Times New Roman" w:eastAsia="仿宋" w:hAnsi="Times New Roman" w:hint="eastAsia"/>
          <w:sz w:val="24"/>
          <w:szCs w:val="32"/>
        </w:rPr>
        <w:t>高频量化</w:t>
      </w:r>
      <w:r>
        <w:rPr>
          <w:rFonts w:ascii="Times New Roman" w:eastAsia="仿宋" w:hAnsi="Times New Roman" w:hint="eastAsia"/>
          <w:sz w:val="24"/>
          <w:szCs w:val="32"/>
        </w:rPr>
        <w:t>1</w:t>
      </w:r>
      <w:r>
        <w:rPr>
          <w:rFonts w:ascii="Times New Roman" w:eastAsia="仿宋" w:hAnsi="Times New Roman" w:hint="eastAsia"/>
          <w:sz w:val="24"/>
          <w:szCs w:val="32"/>
        </w:rPr>
        <w:t>号的月度增幅</w:t>
      </w:r>
      <w:r>
        <w:rPr>
          <w:rFonts w:ascii="Times New Roman" w:eastAsia="仿宋" w:hAnsi="Times New Roman" w:hint="eastAsia"/>
          <w:sz w:val="24"/>
          <w:szCs w:val="32"/>
        </w:rPr>
        <w:t>37.53%</w:t>
      </w:r>
      <w:r>
        <w:rPr>
          <w:rFonts w:ascii="Times New Roman" w:eastAsia="仿宋" w:hAnsi="Times New Roman" w:hint="eastAsia"/>
          <w:sz w:val="24"/>
          <w:szCs w:val="32"/>
        </w:rPr>
        <w:t>，</w:t>
      </w:r>
      <w:r>
        <w:rPr>
          <w:rFonts w:ascii="Times New Roman" w:eastAsia="仿宋" w:hAnsi="Times New Roman" w:hint="eastAsia"/>
          <w:sz w:val="24"/>
          <w:szCs w:val="32"/>
        </w:rPr>
        <w:t>50-100</w:t>
      </w:r>
      <w:r>
        <w:rPr>
          <w:rFonts w:ascii="Times New Roman" w:eastAsia="仿宋" w:hAnsi="Times New Roman" w:hint="eastAsia"/>
          <w:sz w:val="24"/>
          <w:szCs w:val="32"/>
        </w:rPr>
        <w:t>亿私募</w:t>
      </w:r>
      <w:r>
        <w:rPr>
          <w:rFonts w:ascii="Times New Roman" w:eastAsia="仿宋" w:hAnsi="Times New Roman" w:hint="eastAsia"/>
          <w:sz w:val="24"/>
          <w:szCs w:val="32"/>
        </w:rPr>
        <w:t>YTD</w:t>
      </w:r>
      <w:r>
        <w:rPr>
          <w:rFonts w:ascii="Times New Roman" w:eastAsia="仿宋" w:hAnsi="Times New Roman" w:hint="eastAsia"/>
          <w:sz w:val="24"/>
          <w:szCs w:val="32"/>
        </w:rPr>
        <w:t>平均增幅</w:t>
      </w:r>
      <w:r>
        <w:rPr>
          <w:rFonts w:ascii="Times New Roman" w:eastAsia="仿宋" w:hAnsi="Times New Roman" w:hint="eastAsia"/>
          <w:sz w:val="24"/>
          <w:szCs w:val="32"/>
        </w:rPr>
        <w:t>2.47%</w:t>
      </w:r>
      <w:r>
        <w:rPr>
          <w:rFonts w:ascii="Times New Roman" w:eastAsia="仿宋" w:hAnsi="Times New Roman" w:hint="eastAsia"/>
          <w:sz w:val="24"/>
          <w:szCs w:val="32"/>
        </w:rPr>
        <w:t>）；</w:t>
      </w:r>
      <w:r>
        <w:rPr>
          <w:rFonts w:ascii="Times New Roman" w:eastAsia="仿宋" w:hAnsi="Times New Roman" w:hint="eastAsia"/>
          <w:sz w:val="24"/>
          <w:szCs w:val="32"/>
        </w:rPr>
        <w:t>20-50</w:t>
      </w:r>
      <w:r>
        <w:rPr>
          <w:rFonts w:ascii="Times New Roman" w:eastAsia="仿宋" w:hAnsi="Times New Roman" w:hint="eastAsia"/>
          <w:sz w:val="24"/>
          <w:szCs w:val="32"/>
        </w:rPr>
        <w:t>亿私募</w:t>
      </w:r>
      <w:r>
        <w:rPr>
          <w:rFonts w:ascii="Times New Roman" w:eastAsia="仿宋" w:hAnsi="Times New Roman" w:hint="eastAsia"/>
          <w:sz w:val="24"/>
          <w:szCs w:val="32"/>
        </w:rPr>
        <w:t>YTD</w:t>
      </w:r>
      <w:r>
        <w:rPr>
          <w:rFonts w:ascii="Times New Roman" w:eastAsia="仿宋" w:hAnsi="Times New Roman" w:hint="eastAsia"/>
          <w:sz w:val="24"/>
          <w:szCs w:val="32"/>
        </w:rPr>
        <w:t>平均下降</w:t>
      </w:r>
      <w:r>
        <w:rPr>
          <w:rFonts w:ascii="Times New Roman" w:eastAsia="仿宋" w:hAnsi="Times New Roman" w:hint="eastAsia"/>
          <w:sz w:val="24"/>
          <w:szCs w:val="32"/>
        </w:rPr>
        <w:t>3.89%</w:t>
      </w:r>
      <w:r>
        <w:rPr>
          <w:rFonts w:ascii="Times New Roman" w:eastAsia="仿宋" w:hAnsi="Times New Roman" w:hint="eastAsia"/>
          <w:sz w:val="24"/>
          <w:szCs w:val="32"/>
        </w:rPr>
        <w:t>（除去极小值——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源晖科技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成长阿尔法的月度降幅</w:t>
      </w:r>
      <w:r>
        <w:rPr>
          <w:rFonts w:ascii="Times New Roman" w:eastAsia="仿宋" w:hAnsi="Times New Roman" w:hint="eastAsia"/>
          <w:sz w:val="24"/>
          <w:szCs w:val="32"/>
        </w:rPr>
        <w:t>47.91%</w:t>
      </w:r>
      <w:r>
        <w:rPr>
          <w:rFonts w:ascii="Times New Roman" w:eastAsia="仿宋" w:hAnsi="Times New Roman" w:hint="eastAsia"/>
          <w:sz w:val="24"/>
          <w:szCs w:val="32"/>
        </w:rPr>
        <w:t>，</w:t>
      </w:r>
      <w:r>
        <w:rPr>
          <w:rFonts w:ascii="Times New Roman" w:eastAsia="仿宋" w:hAnsi="Times New Roman" w:hint="eastAsia"/>
          <w:sz w:val="24"/>
          <w:szCs w:val="32"/>
        </w:rPr>
        <w:t>20-50</w:t>
      </w:r>
      <w:r>
        <w:rPr>
          <w:rFonts w:ascii="Times New Roman" w:eastAsia="仿宋" w:hAnsi="Times New Roman" w:hint="eastAsia"/>
          <w:sz w:val="24"/>
          <w:szCs w:val="32"/>
        </w:rPr>
        <w:t>亿私募</w:t>
      </w:r>
      <w:r>
        <w:rPr>
          <w:rFonts w:ascii="Times New Roman" w:eastAsia="仿宋" w:hAnsi="Times New Roman" w:hint="eastAsia"/>
          <w:sz w:val="24"/>
          <w:szCs w:val="32"/>
        </w:rPr>
        <w:t>YTD</w:t>
      </w:r>
      <w:r>
        <w:rPr>
          <w:rFonts w:ascii="Times New Roman" w:eastAsia="仿宋" w:hAnsi="Times New Roman" w:hint="eastAsia"/>
          <w:sz w:val="24"/>
          <w:szCs w:val="32"/>
        </w:rPr>
        <w:t>平均降幅</w:t>
      </w:r>
      <w:r>
        <w:rPr>
          <w:rFonts w:ascii="Times New Roman" w:eastAsia="仿宋" w:hAnsi="Times New Roman" w:hint="eastAsia"/>
          <w:sz w:val="24"/>
          <w:szCs w:val="32"/>
        </w:rPr>
        <w:t>2.51%</w:t>
      </w:r>
      <w:r>
        <w:rPr>
          <w:rFonts w:ascii="Times New Roman" w:eastAsia="仿宋" w:hAnsi="Times New Roman" w:hint="eastAsia"/>
          <w:sz w:val="24"/>
          <w:szCs w:val="32"/>
        </w:rPr>
        <w:t>）</w:t>
      </w:r>
      <w:r>
        <w:rPr>
          <w:rFonts w:ascii="Times New Roman" w:eastAsia="仿宋" w:hAnsi="Times New Roman" w:hint="eastAsia"/>
          <w:sz w:val="24"/>
          <w:szCs w:val="32"/>
        </w:rPr>
        <w:t>;10-20</w:t>
      </w:r>
      <w:r>
        <w:rPr>
          <w:rFonts w:ascii="Times New Roman" w:eastAsia="仿宋" w:hAnsi="Times New Roman" w:hint="eastAsia"/>
          <w:sz w:val="24"/>
          <w:szCs w:val="32"/>
        </w:rPr>
        <w:t>亿私募</w:t>
      </w:r>
      <w:r>
        <w:rPr>
          <w:rFonts w:ascii="Times New Roman" w:eastAsia="仿宋" w:hAnsi="Times New Roman" w:hint="eastAsia"/>
          <w:sz w:val="24"/>
          <w:szCs w:val="32"/>
        </w:rPr>
        <w:t>YTD</w:t>
      </w:r>
      <w:r>
        <w:rPr>
          <w:rFonts w:ascii="Times New Roman" w:eastAsia="仿宋" w:hAnsi="Times New Roman" w:hint="eastAsia"/>
          <w:sz w:val="24"/>
          <w:szCs w:val="32"/>
        </w:rPr>
        <w:t>平均上升</w:t>
      </w:r>
      <w:r>
        <w:rPr>
          <w:rFonts w:ascii="Times New Roman" w:eastAsia="仿宋" w:hAnsi="Times New Roman" w:hint="eastAsia"/>
          <w:sz w:val="24"/>
          <w:szCs w:val="32"/>
        </w:rPr>
        <w:t>2.42%</w:t>
      </w:r>
      <w:r>
        <w:rPr>
          <w:rFonts w:ascii="Times New Roman" w:eastAsia="仿宋" w:hAnsi="Times New Roman" w:hint="eastAsia"/>
          <w:sz w:val="24"/>
          <w:szCs w:val="32"/>
        </w:rPr>
        <w:t>（除去极大值——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智领兆元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正道</w:t>
      </w:r>
      <w:r>
        <w:rPr>
          <w:rFonts w:ascii="Times New Roman" w:eastAsia="仿宋" w:hAnsi="Times New Roman" w:hint="eastAsia"/>
          <w:sz w:val="24"/>
          <w:szCs w:val="32"/>
        </w:rPr>
        <w:t>1</w:t>
      </w:r>
      <w:r>
        <w:rPr>
          <w:rFonts w:ascii="Times New Roman" w:eastAsia="仿宋" w:hAnsi="Times New Roman" w:hint="eastAsia"/>
          <w:sz w:val="24"/>
          <w:szCs w:val="32"/>
        </w:rPr>
        <w:t>期的月度增幅</w:t>
      </w:r>
      <w:r>
        <w:rPr>
          <w:rFonts w:ascii="Times New Roman" w:eastAsia="仿宋" w:hAnsi="Times New Roman" w:hint="eastAsia"/>
          <w:sz w:val="24"/>
          <w:szCs w:val="32"/>
        </w:rPr>
        <w:t>18.17%</w:t>
      </w:r>
      <w:r>
        <w:rPr>
          <w:rFonts w:ascii="Times New Roman" w:eastAsia="仿宋" w:hAnsi="Times New Roman" w:hint="eastAsia"/>
          <w:sz w:val="24"/>
          <w:szCs w:val="32"/>
        </w:rPr>
        <w:t>，</w:t>
      </w:r>
      <w:r>
        <w:rPr>
          <w:rFonts w:ascii="Times New Roman" w:eastAsia="仿宋" w:hAnsi="Times New Roman" w:hint="eastAsia"/>
          <w:sz w:val="24"/>
          <w:szCs w:val="32"/>
        </w:rPr>
        <w:t>10-20</w:t>
      </w:r>
      <w:r>
        <w:rPr>
          <w:rFonts w:ascii="Times New Roman" w:eastAsia="仿宋" w:hAnsi="Times New Roman" w:hint="eastAsia"/>
          <w:sz w:val="24"/>
          <w:szCs w:val="32"/>
        </w:rPr>
        <w:t>亿私募</w:t>
      </w:r>
      <w:r>
        <w:rPr>
          <w:rFonts w:ascii="Times New Roman" w:eastAsia="仿宋" w:hAnsi="Times New Roman" w:hint="eastAsia"/>
          <w:sz w:val="24"/>
          <w:szCs w:val="32"/>
        </w:rPr>
        <w:t>YTD</w:t>
      </w:r>
      <w:r>
        <w:rPr>
          <w:rFonts w:ascii="Times New Roman" w:eastAsia="仿宋" w:hAnsi="Times New Roman" w:hint="eastAsia"/>
          <w:sz w:val="24"/>
          <w:szCs w:val="32"/>
        </w:rPr>
        <w:t>平均增长</w:t>
      </w:r>
      <w:r>
        <w:rPr>
          <w:rFonts w:ascii="Times New Roman" w:eastAsia="仿宋" w:hAnsi="Times New Roman" w:hint="eastAsia"/>
          <w:sz w:val="24"/>
          <w:szCs w:val="32"/>
        </w:rPr>
        <w:t>1.29%</w:t>
      </w:r>
      <w:r>
        <w:rPr>
          <w:rFonts w:ascii="Times New Roman" w:eastAsia="仿宋" w:hAnsi="Times New Roman" w:hint="eastAsia"/>
          <w:sz w:val="24"/>
          <w:szCs w:val="32"/>
        </w:rPr>
        <w:t>）；</w:t>
      </w:r>
      <w:r>
        <w:rPr>
          <w:rFonts w:ascii="Times New Roman" w:eastAsia="仿宋" w:hAnsi="Times New Roman" w:hint="eastAsia"/>
          <w:sz w:val="24"/>
          <w:szCs w:val="32"/>
        </w:rPr>
        <w:t>5-10</w:t>
      </w:r>
      <w:r>
        <w:rPr>
          <w:rFonts w:ascii="Times New Roman" w:eastAsia="仿宋" w:hAnsi="Times New Roman" w:hint="eastAsia"/>
          <w:sz w:val="24"/>
          <w:szCs w:val="32"/>
        </w:rPr>
        <w:t>亿私募</w:t>
      </w:r>
      <w:r>
        <w:rPr>
          <w:rFonts w:ascii="Times New Roman" w:eastAsia="仿宋" w:hAnsi="Times New Roman" w:hint="eastAsia"/>
          <w:sz w:val="24"/>
          <w:szCs w:val="32"/>
        </w:rPr>
        <w:t>YTD</w:t>
      </w:r>
      <w:r>
        <w:rPr>
          <w:rFonts w:ascii="Times New Roman" w:eastAsia="仿宋" w:hAnsi="Times New Roman" w:hint="eastAsia"/>
          <w:sz w:val="24"/>
          <w:szCs w:val="32"/>
        </w:rPr>
        <w:t>平均上升</w:t>
      </w:r>
      <w:r>
        <w:rPr>
          <w:rFonts w:ascii="Times New Roman" w:eastAsia="仿宋" w:hAnsi="Times New Roman" w:hint="eastAsia"/>
          <w:sz w:val="24"/>
          <w:szCs w:val="32"/>
        </w:rPr>
        <w:t>3.24%</w:t>
      </w:r>
      <w:r>
        <w:rPr>
          <w:rFonts w:ascii="Times New Roman" w:eastAsia="仿宋" w:hAnsi="Times New Roman" w:hint="eastAsia"/>
          <w:sz w:val="24"/>
          <w:szCs w:val="32"/>
        </w:rPr>
        <w:t>（除去极大值——河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洲伊雷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多空一号的月度增幅</w:t>
      </w:r>
      <w:r>
        <w:rPr>
          <w:rFonts w:ascii="Times New Roman" w:eastAsia="仿宋" w:hAnsi="Times New Roman" w:hint="eastAsia"/>
          <w:sz w:val="24"/>
          <w:szCs w:val="32"/>
        </w:rPr>
        <w:t>13.29%</w:t>
      </w:r>
      <w:r>
        <w:rPr>
          <w:rFonts w:ascii="Times New Roman" w:eastAsia="仿宋" w:hAnsi="Times New Roman" w:hint="eastAsia"/>
          <w:sz w:val="24"/>
          <w:szCs w:val="32"/>
        </w:rPr>
        <w:t>，</w:t>
      </w:r>
      <w:r>
        <w:rPr>
          <w:rFonts w:ascii="Times New Roman" w:eastAsia="仿宋" w:hAnsi="Times New Roman" w:hint="eastAsia"/>
          <w:sz w:val="24"/>
          <w:szCs w:val="32"/>
        </w:rPr>
        <w:t>5-10</w:t>
      </w:r>
      <w:r>
        <w:rPr>
          <w:rFonts w:ascii="Times New Roman" w:eastAsia="仿宋" w:hAnsi="Times New Roman" w:hint="eastAsia"/>
          <w:sz w:val="24"/>
          <w:szCs w:val="32"/>
        </w:rPr>
        <w:t>亿私募</w:t>
      </w:r>
      <w:r>
        <w:rPr>
          <w:rFonts w:ascii="Times New Roman" w:eastAsia="仿宋" w:hAnsi="Times New Roman" w:hint="eastAsia"/>
          <w:sz w:val="24"/>
          <w:szCs w:val="32"/>
        </w:rPr>
        <w:t>YTD</w:t>
      </w:r>
      <w:r>
        <w:rPr>
          <w:rFonts w:ascii="Times New Roman" w:eastAsia="仿宋" w:hAnsi="Times New Roman" w:hint="eastAsia"/>
          <w:sz w:val="24"/>
          <w:szCs w:val="32"/>
        </w:rPr>
        <w:t>平均增长</w:t>
      </w:r>
      <w:r>
        <w:rPr>
          <w:rFonts w:ascii="Times New Roman" w:eastAsia="仿宋" w:hAnsi="Times New Roman" w:hint="eastAsia"/>
          <w:sz w:val="24"/>
          <w:szCs w:val="32"/>
        </w:rPr>
        <w:t>2.23%</w:t>
      </w:r>
      <w:r>
        <w:rPr>
          <w:rFonts w:ascii="Times New Roman" w:eastAsia="仿宋" w:hAnsi="Times New Roman" w:hint="eastAsia"/>
          <w:sz w:val="24"/>
          <w:szCs w:val="32"/>
        </w:rPr>
        <w:t>）；</w:t>
      </w:r>
      <w:r>
        <w:rPr>
          <w:rFonts w:ascii="Times New Roman" w:eastAsia="仿宋" w:hAnsi="Times New Roman" w:hint="eastAsia"/>
          <w:sz w:val="24"/>
          <w:szCs w:val="32"/>
        </w:rPr>
        <w:t>0-5</w:t>
      </w:r>
      <w:r>
        <w:rPr>
          <w:rFonts w:ascii="Times New Roman" w:eastAsia="仿宋" w:hAnsi="Times New Roman" w:hint="eastAsia"/>
          <w:sz w:val="24"/>
          <w:szCs w:val="32"/>
        </w:rPr>
        <w:t>亿私募</w:t>
      </w:r>
      <w:r>
        <w:rPr>
          <w:rFonts w:ascii="Times New Roman" w:eastAsia="仿宋" w:hAnsi="Times New Roman" w:hint="eastAsia"/>
          <w:sz w:val="24"/>
          <w:szCs w:val="32"/>
        </w:rPr>
        <w:t>YTD</w:t>
      </w:r>
      <w:r>
        <w:rPr>
          <w:rFonts w:ascii="Times New Roman" w:eastAsia="仿宋" w:hAnsi="Times New Roman" w:hint="eastAsia"/>
          <w:sz w:val="24"/>
          <w:szCs w:val="32"/>
        </w:rPr>
        <w:t>则平均上升</w:t>
      </w:r>
      <w:r>
        <w:rPr>
          <w:rFonts w:ascii="Times New Roman" w:eastAsia="仿宋" w:hAnsi="Times New Roman" w:hint="eastAsia"/>
          <w:sz w:val="24"/>
          <w:szCs w:val="32"/>
        </w:rPr>
        <w:t>0.24%</w:t>
      </w:r>
      <w:r>
        <w:rPr>
          <w:rFonts w:ascii="Times New Roman" w:eastAsia="仿宋" w:hAnsi="Times New Roman" w:hint="eastAsia"/>
          <w:sz w:val="24"/>
          <w:szCs w:val="32"/>
        </w:rPr>
        <w:t>，无明显极值误差。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整体上看，虽量化多头产品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12</w:t>
      </w:r>
      <w:proofErr w:type="gramStart"/>
      <w:r>
        <w:rPr>
          <w:rFonts w:ascii="Times New Roman" w:eastAsia="仿宋" w:hAnsi="Times New Roman" w:hint="eastAsia"/>
          <w:b/>
          <w:bCs/>
          <w:sz w:val="24"/>
          <w:szCs w:val="32"/>
        </w:rPr>
        <w:t>月度仅经历</w:t>
      </w:r>
      <w:proofErr w:type="gramEnd"/>
      <w:r>
        <w:rPr>
          <w:rFonts w:ascii="Times New Roman" w:eastAsia="仿宋" w:hAnsi="Times New Roman" w:hint="eastAsia"/>
          <w:b/>
          <w:bCs/>
          <w:sz w:val="24"/>
          <w:szCs w:val="32"/>
        </w:rPr>
        <w:t>不到上下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3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百分点的变动额，但实际降幅从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12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月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24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日已经开启，直至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2022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年初（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12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月末几天的市场回暖属于缩量反弹，整体并未修复颓势，故需进一步关注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2022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年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1-2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月全策略产品变动以确定回撤情况，目前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2022</w:t>
      </w:r>
      <w:proofErr w:type="gramStart"/>
      <w:r>
        <w:rPr>
          <w:rFonts w:ascii="Times New Roman" w:eastAsia="仿宋" w:hAnsi="Times New Roman" w:hint="eastAsia"/>
          <w:b/>
          <w:bCs/>
          <w:sz w:val="24"/>
          <w:szCs w:val="32"/>
        </w:rPr>
        <w:t>年首周</w:t>
      </w:r>
      <w:proofErr w:type="gramEnd"/>
      <w:r>
        <w:rPr>
          <w:rFonts w:ascii="Times New Roman" w:eastAsia="仿宋" w:hAnsi="Times New Roman" w:hint="eastAsia"/>
          <w:b/>
          <w:bCs/>
          <w:sz w:val="24"/>
          <w:szCs w:val="32"/>
        </w:rPr>
        <w:t>1.4 - 1.7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，大部分产品均呈现不同幅度回撤，市场走势不佳）。</w:t>
      </w:r>
      <w:r>
        <w:rPr>
          <w:rFonts w:ascii="Times New Roman" w:eastAsia="仿宋" w:hAnsi="Times New Roman" w:hint="eastAsia"/>
          <w:sz w:val="24"/>
          <w:szCs w:val="32"/>
        </w:rPr>
        <w:t>12</w:t>
      </w:r>
      <w:r>
        <w:rPr>
          <w:rFonts w:ascii="Times New Roman" w:eastAsia="仿宋" w:hAnsi="Times New Roman" w:hint="eastAsia"/>
          <w:sz w:val="24"/>
          <w:szCs w:val="32"/>
        </w:rPr>
        <w:t>月度，相较于百亿规模头部私募，中小规模私募保持了较好的稳步上升，但</w:t>
      </w:r>
      <w:r>
        <w:rPr>
          <w:rFonts w:ascii="Times New Roman" w:eastAsia="仿宋" w:hAnsi="Times New Roman" w:hint="eastAsia"/>
          <w:sz w:val="24"/>
          <w:szCs w:val="32"/>
        </w:rPr>
        <w:t>20-50</w:t>
      </w:r>
      <w:r>
        <w:rPr>
          <w:rFonts w:ascii="Times New Roman" w:eastAsia="仿宋" w:hAnsi="Times New Roman" w:hint="eastAsia"/>
          <w:sz w:val="24"/>
          <w:szCs w:val="32"/>
        </w:rPr>
        <w:t>亿规模私募则表现不佳，</w:t>
      </w:r>
      <w:r>
        <w:rPr>
          <w:rFonts w:ascii="Times New Roman" w:eastAsia="仿宋" w:hAnsi="Times New Roman" w:hint="eastAsia"/>
          <w:sz w:val="24"/>
          <w:szCs w:val="32"/>
        </w:rPr>
        <w:t>33</w:t>
      </w:r>
      <w:r>
        <w:rPr>
          <w:rFonts w:ascii="Times New Roman" w:eastAsia="仿宋" w:hAnsi="Times New Roman" w:hint="eastAsia"/>
          <w:sz w:val="24"/>
          <w:szCs w:val="32"/>
        </w:rPr>
        <w:t>只占比</w:t>
      </w:r>
      <w:r>
        <w:rPr>
          <w:rFonts w:ascii="Times New Roman" w:eastAsia="仿宋" w:hAnsi="Times New Roman" w:hint="eastAsia"/>
          <w:sz w:val="24"/>
          <w:szCs w:val="32"/>
        </w:rPr>
        <w:t>12.84%</w:t>
      </w:r>
      <w:r>
        <w:rPr>
          <w:rFonts w:ascii="Times New Roman" w:eastAsia="仿宋" w:hAnsi="Times New Roman" w:hint="eastAsia"/>
          <w:sz w:val="24"/>
          <w:szCs w:val="32"/>
        </w:rPr>
        <w:t>的产品平均经历了</w:t>
      </w:r>
      <w:r>
        <w:rPr>
          <w:rFonts w:ascii="Times New Roman" w:eastAsia="仿宋" w:hAnsi="Times New Roman" w:hint="eastAsia"/>
          <w:sz w:val="24"/>
          <w:szCs w:val="32"/>
        </w:rPr>
        <w:t>2.5</w:t>
      </w:r>
      <w:r>
        <w:rPr>
          <w:rFonts w:ascii="Times New Roman" w:eastAsia="仿宋" w:hAnsi="Times New Roman" w:hint="eastAsia"/>
          <w:sz w:val="24"/>
          <w:szCs w:val="32"/>
        </w:rPr>
        <w:t>百分点的回撤，且出现一定走势分化表现。</w:t>
      </w:r>
    </w:p>
    <w:p w:rsidR="00B3218C" w:rsidRDefault="00B3218C">
      <w:pPr>
        <w:rPr>
          <w:rFonts w:ascii="Times New Roman" w:eastAsia="仿宋" w:hAnsi="Times New Roman"/>
        </w:rPr>
      </w:pPr>
    </w:p>
    <w:p w:rsidR="00B3218C" w:rsidRDefault="00B3218C">
      <w:pPr>
        <w:jc w:val="center"/>
        <w:rPr>
          <w:rFonts w:ascii="Times New Roman" w:eastAsia="仿宋" w:hAnsi="Times New Roman"/>
          <w:b/>
          <w:bCs/>
        </w:rPr>
      </w:pPr>
    </w:p>
    <w:p w:rsidR="00B3218C" w:rsidRDefault="00B3218C">
      <w:pPr>
        <w:jc w:val="center"/>
        <w:rPr>
          <w:rFonts w:ascii="Times New Roman" w:eastAsia="仿宋" w:hAnsi="Times New Roman"/>
          <w:b/>
          <w:bCs/>
        </w:rPr>
      </w:pPr>
    </w:p>
    <w:p w:rsidR="00B3218C" w:rsidRDefault="00B3218C">
      <w:pPr>
        <w:jc w:val="center"/>
        <w:rPr>
          <w:rFonts w:ascii="Times New Roman" w:eastAsia="仿宋" w:hAnsi="Times New Roman"/>
          <w:b/>
          <w:bCs/>
        </w:rPr>
      </w:pPr>
    </w:p>
    <w:p w:rsidR="00B3218C" w:rsidRDefault="00B3218C">
      <w:pPr>
        <w:jc w:val="center"/>
        <w:rPr>
          <w:rFonts w:ascii="Times New Roman" w:eastAsia="仿宋" w:hAnsi="Times New Roman"/>
          <w:b/>
          <w:bCs/>
        </w:rPr>
      </w:pPr>
    </w:p>
    <w:p w:rsidR="00B3218C" w:rsidRDefault="00B3218C">
      <w:pPr>
        <w:jc w:val="center"/>
        <w:rPr>
          <w:rFonts w:ascii="Times New Roman" w:eastAsia="仿宋" w:hAnsi="Times New Roman"/>
          <w:b/>
          <w:bCs/>
        </w:rPr>
      </w:pPr>
    </w:p>
    <w:p w:rsidR="00B3218C" w:rsidRDefault="00B3218C">
      <w:pPr>
        <w:jc w:val="center"/>
        <w:rPr>
          <w:rFonts w:ascii="Times New Roman" w:eastAsia="仿宋" w:hAnsi="Times New Roman"/>
          <w:b/>
          <w:bCs/>
        </w:rPr>
      </w:pPr>
    </w:p>
    <w:p w:rsidR="00B3218C" w:rsidRDefault="00B3218C">
      <w:pPr>
        <w:jc w:val="center"/>
        <w:rPr>
          <w:rFonts w:ascii="Times New Roman" w:eastAsia="仿宋" w:hAnsi="Times New Roman"/>
          <w:b/>
          <w:bCs/>
        </w:rPr>
      </w:pPr>
    </w:p>
    <w:p w:rsidR="00B3218C" w:rsidRDefault="00B3218C">
      <w:pPr>
        <w:jc w:val="center"/>
        <w:rPr>
          <w:rFonts w:ascii="Times New Roman" w:eastAsia="仿宋" w:hAnsi="Times New Roman"/>
          <w:b/>
          <w:bCs/>
        </w:rPr>
      </w:pPr>
    </w:p>
    <w:p w:rsidR="00B3218C" w:rsidRDefault="00B3218C">
      <w:pPr>
        <w:jc w:val="center"/>
        <w:rPr>
          <w:rFonts w:ascii="Times New Roman" w:eastAsia="仿宋" w:hAnsi="Times New Roman"/>
          <w:b/>
          <w:bCs/>
        </w:rPr>
      </w:pPr>
    </w:p>
    <w:p w:rsidR="00B3218C" w:rsidRDefault="00B3218C">
      <w:pPr>
        <w:jc w:val="center"/>
        <w:rPr>
          <w:rFonts w:ascii="Times New Roman" w:eastAsia="仿宋" w:hAnsi="Times New Roman"/>
          <w:b/>
          <w:bCs/>
        </w:rPr>
      </w:pPr>
    </w:p>
    <w:p w:rsidR="00B3218C" w:rsidRDefault="00B3218C">
      <w:pPr>
        <w:rPr>
          <w:rFonts w:ascii="Times New Roman" w:eastAsia="仿宋" w:hAnsi="Times New Roman"/>
          <w:b/>
          <w:bCs/>
        </w:rPr>
      </w:pPr>
    </w:p>
    <w:p w:rsidR="00B3218C" w:rsidRDefault="00314DF5">
      <w:pPr>
        <w:spacing w:line="360" w:lineRule="auto"/>
        <w:jc w:val="center"/>
        <w:rPr>
          <w:rFonts w:ascii="Times New Roman" w:eastAsia="仿宋" w:hAnsi="Times New Roman"/>
          <w:b/>
          <w:bCs/>
          <w:sz w:val="24"/>
          <w:szCs w:val="32"/>
        </w:rPr>
      </w:pPr>
      <w:r>
        <w:rPr>
          <w:rFonts w:ascii="Times New Roman" w:eastAsia="仿宋" w:hAnsi="Times New Roman" w:hint="eastAsia"/>
          <w:b/>
          <w:bCs/>
          <w:sz w:val="24"/>
          <w:szCs w:val="32"/>
        </w:rPr>
        <w:lastRenderedPageBreak/>
        <w:t>图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3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：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11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月度，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YTD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收益保持在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50%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且最大回撤低于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10%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的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15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只产品</w:t>
      </w:r>
    </w:p>
    <w:p w:rsidR="00B3218C" w:rsidRDefault="00314DF5">
      <w:pPr>
        <w:spacing w:line="360" w:lineRule="auto"/>
        <w:jc w:val="center"/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/>
          <w:noProof/>
          <w:sz w:val="24"/>
          <w:szCs w:val="32"/>
        </w:rPr>
        <w:drawing>
          <wp:inline distT="0" distB="0" distL="114300" distR="114300">
            <wp:extent cx="5273675" cy="1701165"/>
            <wp:effectExtent l="0" t="0" r="14605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8C" w:rsidRDefault="00B3218C">
      <w:pPr>
        <w:spacing w:line="360" w:lineRule="auto"/>
        <w:rPr>
          <w:rFonts w:ascii="Times New Roman" w:eastAsia="仿宋" w:hAnsi="Times New Roman"/>
          <w:b/>
          <w:bCs/>
          <w:sz w:val="24"/>
          <w:szCs w:val="32"/>
        </w:rPr>
      </w:pPr>
    </w:p>
    <w:p w:rsidR="00B3218C" w:rsidRDefault="00314DF5">
      <w:pPr>
        <w:spacing w:line="360" w:lineRule="auto"/>
        <w:jc w:val="center"/>
        <w:rPr>
          <w:rFonts w:ascii="Times New Roman" w:eastAsia="仿宋" w:hAnsi="Times New Roman"/>
          <w:b/>
          <w:bCs/>
          <w:sz w:val="24"/>
          <w:szCs w:val="32"/>
        </w:rPr>
      </w:pPr>
      <w:r>
        <w:rPr>
          <w:rFonts w:ascii="Times New Roman" w:eastAsia="仿宋" w:hAnsi="Times New Roman" w:hint="eastAsia"/>
          <w:b/>
          <w:bCs/>
          <w:sz w:val="24"/>
          <w:szCs w:val="32"/>
        </w:rPr>
        <w:t>图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4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：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12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月度，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YTD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收益保持在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50%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且最大回撤低于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10%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的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17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只产品</w:t>
      </w:r>
    </w:p>
    <w:p w:rsidR="00B3218C" w:rsidRDefault="00314DF5">
      <w:pPr>
        <w:spacing w:line="360" w:lineRule="auto"/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/>
          <w:noProof/>
          <w:sz w:val="24"/>
          <w:szCs w:val="32"/>
        </w:rPr>
        <w:drawing>
          <wp:inline distT="0" distB="0" distL="114300" distR="114300">
            <wp:extent cx="5269230" cy="1885315"/>
            <wp:effectExtent l="0" t="0" r="3810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8C" w:rsidRDefault="00314DF5">
      <w:pPr>
        <w:spacing w:line="360" w:lineRule="auto"/>
        <w:ind w:firstLineChars="200" w:firstLine="480"/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 w:hint="eastAsia"/>
          <w:sz w:val="24"/>
          <w:szCs w:val="32"/>
        </w:rPr>
        <w:t>分项来看，头部产品表现仍然优异，如图</w:t>
      </w:r>
      <w:r>
        <w:rPr>
          <w:rFonts w:ascii="Times New Roman" w:eastAsia="仿宋" w:hAnsi="Times New Roman" w:hint="eastAsia"/>
          <w:sz w:val="24"/>
          <w:szCs w:val="32"/>
        </w:rPr>
        <w:t>3</w:t>
      </w:r>
      <w:r>
        <w:rPr>
          <w:rFonts w:ascii="Times New Roman" w:eastAsia="仿宋" w:hAnsi="Times New Roman" w:hint="eastAsia"/>
          <w:sz w:val="24"/>
          <w:szCs w:val="32"/>
        </w:rPr>
        <w:t>所示的</w:t>
      </w:r>
      <w:r>
        <w:rPr>
          <w:rFonts w:ascii="Times New Roman" w:eastAsia="仿宋" w:hAnsi="Times New Roman" w:hint="eastAsia"/>
          <w:sz w:val="24"/>
          <w:szCs w:val="32"/>
        </w:rPr>
        <w:t>15</w:t>
      </w:r>
      <w:r>
        <w:rPr>
          <w:rFonts w:ascii="Times New Roman" w:eastAsia="仿宋" w:hAnsi="Times New Roman" w:hint="eastAsia"/>
          <w:sz w:val="24"/>
          <w:szCs w:val="32"/>
        </w:rPr>
        <w:t>只产品，在</w:t>
      </w:r>
      <w:r>
        <w:rPr>
          <w:rFonts w:ascii="Times New Roman" w:eastAsia="仿宋" w:hAnsi="Times New Roman" w:hint="eastAsia"/>
          <w:sz w:val="24"/>
          <w:szCs w:val="32"/>
        </w:rPr>
        <w:t>11</w:t>
      </w:r>
      <w:r>
        <w:rPr>
          <w:rFonts w:ascii="Times New Roman" w:eastAsia="仿宋" w:hAnsi="Times New Roman" w:hint="eastAsia"/>
          <w:sz w:val="24"/>
          <w:szCs w:val="32"/>
        </w:rPr>
        <w:t>月度保持</w:t>
      </w:r>
      <w:r>
        <w:rPr>
          <w:rFonts w:ascii="Times New Roman" w:eastAsia="仿宋" w:hAnsi="Times New Roman" w:hint="eastAsia"/>
          <w:sz w:val="24"/>
          <w:szCs w:val="32"/>
        </w:rPr>
        <w:t>50%</w:t>
      </w:r>
      <w:r>
        <w:rPr>
          <w:rFonts w:ascii="Times New Roman" w:eastAsia="仿宋" w:hAnsi="Times New Roman" w:hint="eastAsia"/>
          <w:sz w:val="24"/>
          <w:szCs w:val="32"/>
        </w:rPr>
        <w:t>以上收益率同时，维持最大回撤小于</w:t>
      </w:r>
      <w:r>
        <w:rPr>
          <w:rFonts w:ascii="Times New Roman" w:eastAsia="仿宋" w:hAnsi="Times New Roman" w:hint="eastAsia"/>
          <w:sz w:val="24"/>
          <w:szCs w:val="32"/>
        </w:rPr>
        <w:t>10%</w:t>
      </w:r>
      <w:r>
        <w:rPr>
          <w:rFonts w:ascii="Times New Roman" w:eastAsia="仿宋" w:hAnsi="Times New Roman" w:hint="eastAsia"/>
          <w:sz w:val="24"/>
          <w:szCs w:val="32"/>
        </w:rPr>
        <w:t>，其在</w:t>
      </w:r>
      <w:r>
        <w:rPr>
          <w:rFonts w:ascii="Times New Roman" w:eastAsia="仿宋" w:hAnsi="Times New Roman" w:hint="eastAsia"/>
          <w:sz w:val="24"/>
          <w:szCs w:val="32"/>
        </w:rPr>
        <w:t>12</w:t>
      </w:r>
      <w:r>
        <w:rPr>
          <w:rFonts w:ascii="Times New Roman" w:eastAsia="仿宋" w:hAnsi="Times New Roman" w:hint="eastAsia"/>
          <w:sz w:val="24"/>
          <w:szCs w:val="32"/>
        </w:rPr>
        <w:t>月度依然保持稳健表现。而进入</w:t>
      </w:r>
      <w:r>
        <w:rPr>
          <w:rFonts w:ascii="Times New Roman" w:eastAsia="仿宋" w:hAnsi="Times New Roman" w:hint="eastAsia"/>
          <w:sz w:val="24"/>
          <w:szCs w:val="32"/>
        </w:rPr>
        <w:t>12</w:t>
      </w:r>
      <w:r>
        <w:rPr>
          <w:rFonts w:ascii="Times New Roman" w:eastAsia="仿宋" w:hAnsi="Times New Roman" w:hint="eastAsia"/>
          <w:sz w:val="24"/>
          <w:szCs w:val="32"/>
        </w:rPr>
        <w:t>月度，保持</w:t>
      </w:r>
      <w:r>
        <w:rPr>
          <w:rFonts w:ascii="Times New Roman" w:eastAsia="仿宋" w:hAnsi="Times New Roman" w:hint="eastAsia"/>
          <w:sz w:val="24"/>
          <w:szCs w:val="32"/>
        </w:rPr>
        <w:t>50%</w:t>
      </w:r>
      <w:r>
        <w:rPr>
          <w:rFonts w:ascii="Times New Roman" w:eastAsia="仿宋" w:hAnsi="Times New Roman" w:hint="eastAsia"/>
          <w:sz w:val="24"/>
          <w:szCs w:val="32"/>
        </w:rPr>
        <w:t>收益，低于</w:t>
      </w:r>
      <w:r>
        <w:rPr>
          <w:rFonts w:ascii="Times New Roman" w:eastAsia="仿宋" w:hAnsi="Times New Roman" w:hint="eastAsia"/>
          <w:sz w:val="24"/>
          <w:szCs w:val="32"/>
        </w:rPr>
        <w:t>10%</w:t>
      </w:r>
      <w:r>
        <w:rPr>
          <w:rFonts w:ascii="Times New Roman" w:eastAsia="仿宋" w:hAnsi="Times New Roman" w:hint="eastAsia"/>
          <w:sz w:val="24"/>
          <w:szCs w:val="32"/>
        </w:rPr>
        <w:t>回撤的产品新增</w:t>
      </w:r>
      <w:r>
        <w:rPr>
          <w:rFonts w:ascii="Times New Roman" w:eastAsia="仿宋" w:hAnsi="Times New Roman" w:hint="eastAsia"/>
          <w:sz w:val="24"/>
          <w:szCs w:val="32"/>
        </w:rPr>
        <w:t>3</w:t>
      </w:r>
      <w:r>
        <w:rPr>
          <w:rFonts w:ascii="Times New Roman" w:eastAsia="仿宋" w:hAnsi="Times New Roman" w:hint="eastAsia"/>
          <w:sz w:val="24"/>
          <w:szCs w:val="32"/>
        </w:rPr>
        <w:t>只至</w:t>
      </w:r>
      <w:r>
        <w:rPr>
          <w:rFonts w:ascii="Times New Roman" w:eastAsia="仿宋" w:hAnsi="Times New Roman" w:hint="eastAsia"/>
          <w:sz w:val="24"/>
          <w:szCs w:val="32"/>
        </w:rPr>
        <w:t>17</w:t>
      </w:r>
      <w:r>
        <w:rPr>
          <w:rFonts w:ascii="Times New Roman" w:eastAsia="仿宋" w:hAnsi="Times New Roman" w:hint="eastAsia"/>
          <w:sz w:val="24"/>
          <w:szCs w:val="32"/>
        </w:rPr>
        <w:t>只，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包括新进入百亿规模的思</w:t>
      </w:r>
      <w:proofErr w:type="gramStart"/>
      <w:r>
        <w:rPr>
          <w:rFonts w:ascii="Times New Roman" w:eastAsia="仿宋" w:hAnsi="Times New Roman" w:hint="eastAsia"/>
          <w:b/>
          <w:bCs/>
          <w:sz w:val="24"/>
          <w:szCs w:val="32"/>
        </w:rPr>
        <w:t>勰</w:t>
      </w:r>
      <w:proofErr w:type="gramEnd"/>
      <w:r>
        <w:rPr>
          <w:rFonts w:ascii="Times New Roman" w:eastAsia="仿宋" w:hAnsi="Times New Roman" w:hint="eastAsia"/>
          <w:b/>
          <w:bCs/>
          <w:sz w:val="24"/>
          <w:szCs w:val="32"/>
        </w:rPr>
        <w:t>投资的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500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指增产品、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2021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年度保持稳健上升的探针投资的指增产品，以及凭借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12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月份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13.29%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强势攀升的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5-10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亿</w:t>
      </w:r>
      <w:proofErr w:type="gramStart"/>
      <w:r>
        <w:rPr>
          <w:rFonts w:ascii="Times New Roman" w:eastAsia="仿宋" w:hAnsi="Times New Roman" w:hint="eastAsia"/>
          <w:b/>
          <w:bCs/>
          <w:sz w:val="24"/>
          <w:szCs w:val="32"/>
        </w:rPr>
        <w:t>规模河洲资产伊雷</w:t>
      </w:r>
      <w:proofErr w:type="gramEnd"/>
      <w:r>
        <w:rPr>
          <w:rFonts w:ascii="Times New Roman" w:eastAsia="仿宋" w:hAnsi="Times New Roman" w:hint="eastAsia"/>
          <w:b/>
          <w:bCs/>
          <w:sz w:val="24"/>
          <w:szCs w:val="32"/>
        </w:rPr>
        <w:t>多空一号。</w:t>
      </w:r>
      <w:r>
        <w:rPr>
          <w:rFonts w:ascii="Times New Roman" w:eastAsia="仿宋" w:hAnsi="Times New Roman" w:hint="eastAsia"/>
          <w:sz w:val="24"/>
          <w:szCs w:val="32"/>
        </w:rPr>
        <w:t>该</w:t>
      </w:r>
      <w:r>
        <w:rPr>
          <w:rFonts w:ascii="Times New Roman" w:eastAsia="仿宋" w:hAnsi="Times New Roman" w:hint="eastAsia"/>
          <w:sz w:val="24"/>
          <w:szCs w:val="32"/>
        </w:rPr>
        <w:t>17</w:t>
      </w:r>
      <w:r>
        <w:rPr>
          <w:rFonts w:ascii="Times New Roman" w:eastAsia="仿宋" w:hAnsi="Times New Roman" w:hint="eastAsia"/>
          <w:sz w:val="24"/>
          <w:szCs w:val="32"/>
        </w:rPr>
        <w:t>只产品</w:t>
      </w:r>
      <w:r>
        <w:rPr>
          <w:rFonts w:ascii="Times New Roman" w:eastAsia="仿宋" w:hAnsi="Times New Roman" w:hint="eastAsia"/>
          <w:sz w:val="24"/>
          <w:szCs w:val="32"/>
        </w:rPr>
        <w:t>12</w:t>
      </w:r>
      <w:r>
        <w:rPr>
          <w:rFonts w:ascii="Times New Roman" w:eastAsia="仿宋" w:hAnsi="Times New Roman" w:hint="eastAsia"/>
          <w:sz w:val="24"/>
          <w:szCs w:val="32"/>
        </w:rPr>
        <w:t>月度平均增幅</w:t>
      </w:r>
      <w:r>
        <w:rPr>
          <w:rFonts w:ascii="Times New Roman" w:eastAsia="仿宋" w:hAnsi="Times New Roman" w:hint="eastAsia"/>
          <w:sz w:val="24"/>
          <w:szCs w:val="32"/>
        </w:rPr>
        <w:t>7.11%</w:t>
      </w:r>
      <w:r>
        <w:rPr>
          <w:rFonts w:ascii="Times New Roman" w:eastAsia="仿宋" w:hAnsi="Times New Roman" w:hint="eastAsia"/>
          <w:sz w:val="24"/>
          <w:szCs w:val="32"/>
        </w:rPr>
        <w:t>，而几只头部产品甚至出现了超过</w:t>
      </w:r>
      <w:r>
        <w:rPr>
          <w:rFonts w:ascii="Times New Roman" w:eastAsia="仿宋" w:hAnsi="Times New Roman" w:hint="eastAsia"/>
          <w:sz w:val="24"/>
          <w:szCs w:val="32"/>
        </w:rPr>
        <w:t>20%</w:t>
      </w:r>
      <w:r>
        <w:rPr>
          <w:rFonts w:ascii="Times New Roman" w:eastAsia="仿宋" w:hAnsi="Times New Roman" w:hint="eastAsia"/>
          <w:sz w:val="24"/>
          <w:szCs w:val="32"/>
        </w:rPr>
        <w:t>的增幅。另外，念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空数据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科技（</w:t>
      </w:r>
      <w:r>
        <w:rPr>
          <w:rFonts w:ascii="Times New Roman" w:eastAsia="仿宋" w:hAnsi="Times New Roman" w:hint="eastAsia"/>
          <w:sz w:val="24"/>
          <w:szCs w:val="32"/>
        </w:rPr>
        <w:t>20-50</w:t>
      </w:r>
      <w:r>
        <w:rPr>
          <w:rFonts w:ascii="Times New Roman" w:eastAsia="仿宋" w:hAnsi="Times New Roman" w:hint="eastAsia"/>
          <w:sz w:val="24"/>
          <w:szCs w:val="32"/>
        </w:rPr>
        <w:t>亿）依旧保持稳健的投资表现，在头部产品中占据</w:t>
      </w:r>
      <w:r>
        <w:rPr>
          <w:rFonts w:ascii="Times New Roman" w:eastAsia="仿宋" w:hAnsi="Times New Roman" w:hint="eastAsia"/>
          <w:sz w:val="24"/>
          <w:szCs w:val="32"/>
        </w:rPr>
        <w:t>3</w:t>
      </w:r>
      <w:r>
        <w:rPr>
          <w:rFonts w:ascii="Times New Roman" w:eastAsia="仿宋" w:hAnsi="Times New Roman" w:hint="eastAsia"/>
          <w:sz w:val="24"/>
          <w:szCs w:val="32"/>
        </w:rPr>
        <w:t>席。</w:t>
      </w:r>
    </w:p>
    <w:p w:rsidR="00B3218C" w:rsidRDefault="00B3218C">
      <w:pPr>
        <w:rPr>
          <w:rFonts w:ascii="Times New Roman" w:eastAsia="仿宋" w:hAnsi="Times New Roman"/>
        </w:rPr>
      </w:pPr>
    </w:p>
    <w:p w:rsidR="00B3218C" w:rsidRDefault="00B3218C">
      <w:pPr>
        <w:rPr>
          <w:rFonts w:ascii="Times New Roman" w:eastAsia="仿宋" w:hAnsi="Times New Roman"/>
        </w:rPr>
      </w:pPr>
    </w:p>
    <w:p w:rsidR="00B3218C" w:rsidRDefault="00B3218C">
      <w:pPr>
        <w:rPr>
          <w:rFonts w:ascii="Times New Roman" w:eastAsia="仿宋" w:hAnsi="Times New Roman"/>
        </w:rPr>
      </w:pPr>
    </w:p>
    <w:p w:rsidR="00B3218C" w:rsidRDefault="00B3218C">
      <w:pPr>
        <w:rPr>
          <w:rFonts w:ascii="Times New Roman" w:eastAsia="仿宋" w:hAnsi="Times New Roman"/>
        </w:rPr>
      </w:pPr>
    </w:p>
    <w:p w:rsidR="00B3218C" w:rsidRDefault="00B3218C">
      <w:pPr>
        <w:rPr>
          <w:rFonts w:ascii="Times New Roman" w:eastAsia="仿宋" w:hAnsi="Times New Roman"/>
        </w:rPr>
      </w:pPr>
    </w:p>
    <w:p w:rsidR="00B3218C" w:rsidRDefault="00B3218C">
      <w:pPr>
        <w:rPr>
          <w:rFonts w:ascii="Times New Roman" w:eastAsia="仿宋" w:hAnsi="Times New Roman"/>
        </w:rPr>
      </w:pPr>
    </w:p>
    <w:p w:rsidR="00B3218C" w:rsidRDefault="00B3218C">
      <w:pPr>
        <w:rPr>
          <w:rFonts w:ascii="Times New Roman" w:eastAsia="仿宋" w:hAnsi="Times New Roman"/>
        </w:rPr>
      </w:pPr>
    </w:p>
    <w:p w:rsidR="00B3218C" w:rsidRDefault="00B3218C">
      <w:pPr>
        <w:rPr>
          <w:rFonts w:ascii="Times New Roman" w:eastAsia="仿宋" w:hAnsi="Times New Roman"/>
        </w:rPr>
      </w:pPr>
    </w:p>
    <w:p w:rsidR="00B3218C" w:rsidRDefault="00B3218C">
      <w:pPr>
        <w:rPr>
          <w:rFonts w:ascii="Times New Roman" w:eastAsia="仿宋" w:hAnsi="Times New Roman"/>
        </w:rPr>
      </w:pPr>
    </w:p>
    <w:p w:rsidR="00B3218C" w:rsidRDefault="00314DF5">
      <w:pPr>
        <w:ind w:firstLineChars="200" w:firstLine="480"/>
        <w:rPr>
          <w:rFonts w:ascii="Times New Roman" w:eastAsia="仿宋" w:hAnsi="Times New Roman"/>
          <w:sz w:val="24"/>
          <w:szCs w:val="32"/>
        </w:rPr>
      </w:pPr>
      <w:proofErr w:type="gramStart"/>
      <w:r>
        <w:rPr>
          <w:rFonts w:ascii="Times New Roman" w:eastAsia="仿宋" w:hAnsi="Times New Roman" w:hint="eastAsia"/>
          <w:sz w:val="24"/>
          <w:szCs w:val="32"/>
        </w:rPr>
        <w:lastRenderedPageBreak/>
        <w:t>分规模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分析，管理规模百亿以上私募中，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鸣石投资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（</w:t>
      </w:r>
      <w:r>
        <w:rPr>
          <w:rFonts w:ascii="Times New Roman" w:eastAsia="仿宋" w:hAnsi="Times New Roman" w:hint="eastAsia"/>
          <w:sz w:val="24"/>
          <w:szCs w:val="32"/>
        </w:rPr>
        <w:t>18</w:t>
      </w:r>
      <w:r>
        <w:rPr>
          <w:rFonts w:ascii="Times New Roman" w:eastAsia="仿宋" w:hAnsi="Times New Roman" w:hint="eastAsia"/>
          <w:sz w:val="24"/>
          <w:szCs w:val="32"/>
        </w:rPr>
        <w:t>只），金锝资产（</w:t>
      </w:r>
      <w:r>
        <w:rPr>
          <w:rFonts w:ascii="Times New Roman" w:eastAsia="仿宋" w:hAnsi="Times New Roman" w:hint="eastAsia"/>
          <w:sz w:val="24"/>
          <w:szCs w:val="32"/>
        </w:rPr>
        <w:t>17</w:t>
      </w:r>
      <w:r>
        <w:rPr>
          <w:rFonts w:ascii="Times New Roman" w:eastAsia="仿宋" w:hAnsi="Times New Roman" w:hint="eastAsia"/>
          <w:sz w:val="24"/>
          <w:szCs w:val="32"/>
        </w:rPr>
        <w:t>只），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聚宽投资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（</w:t>
      </w:r>
      <w:r>
        <w:rPr>
          <w:rFonts w:ascii="Times New Roman" w:eastAsia="仿宋" w:hAnsi="Times New Roman" w:hint="eastAsia"/>
          <w:sz w:val="24"/>
          <w:szCs w:val="32"/>
        </w:rPr>
        <w:t>16</w:t>
      </w:r>
      <w:r>
        <w:rPr>
          <w:rFonts w:ascii="Times New Roman" w:eastAsia="仿宋" w:hAnsi="Times New Roman" w:hint="eastAsia"/>
          <w:sz w:val="24"/>
          <w:szCs w:val="32"/>
        </w:rPr>
        <w:t>只），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因诺资产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（</w:t>
      </w:r>
      <w:r>
        <w:rPr>
          <w:rFonts w:ascii="Times New Roman" w:eastAsia="仿宋" w:hAnsi="Times New Roman" w:hint="eastAsia"/>
          <w:sz w:val="24"/>
          <w:szCs w:val="32"/>
        </w:rPr>
        <w:t>9</w:t>
      </w:r>
      <w:r>
        <w:rPr>
          <w:rFonts w:ascii="Times New Roman" w:eastAsia="仿宋" w:hAnsi="Times New Roman" w:hint="eastAsia"/>
          <w:sz w:val="24"/>
          <w:szCs w:val="32"/>
        </w:rPr>
        <w:t>只）合计占有量化多头百亿私募</w:t>
      </w:r>
      <w:r>
        <w:rPr>
          <w:rFonts w:ascii="Times New Roman" w:eastAsia="仿宋" w:hAnsi="Times New Roman" w:hint="eastAsia"/>
          <w:sz w:val="24"/>
          <w:szCs w:val="32"/>
        </w:rPr>
        <w:t>60%</w:t>
      </w:r>
      <w:r>
        <w:rPr>
          <w:rFonts w:ascii="Times New Roman" w:eastAsia="仿宋" w:hAnsi="Times New Roman" w:hint="eastAsia"/>
          <w:sz w:val="24"/>
          <w:szCs w:val="32"/>
        </w:rPr>
        <w:t>（</w:t>
      </w:r>
      <w:r>
        <w:rPr>
          <w:rFonts w:ascii="Times New Roman" w:eastAsia="仿宋" w:hAnsi="Times New Roman" w:hint="eastAsia"/>
          <w:sz w:val="24"/>
          <w:szCs w:val="32"/>
        </w:rPr>
        <w:t>60/100</w:t>
      </w:r>
      <w:r>
        <w:rPr>
          <w:rFonts w:ascii="Times New Roman" w:eastAsia="仿宋" w:hAnsi="Times New Roman" w:hint="eastAsia"/>
          <w:sz w:val="24"/>
          <w:szCs w:val="32"/>
        </w:rPr>
        <w:t>）的市场份额，具体数据如下所示：</w:t>
      </w:r>
    </w:p>
    <w:p w:rsidR="00B3218C" w:rsidRDefault="00B3218C">
      <w:pPr>
        <w:ind w:firstLineChars="200" w:firstLine="420"/>
        <w:rPr>
          <w:rFonts w:ascii="Times New Roman" w:eastAsia="仿宋" w:hAnsi="Times New Roman"/>
        </w:rPr>
      </w:pPr>
    </w:p>
    <w:p w:rsidR="00B3218C" w:rsidRDefault="00314DF5">
      <w:pPr>
        <w:ind w:firstLineChars="200" w:firstLine="422"/>
        <w:jc w:val="center"/>
        <w:rPr>
          <w:rFonts w:ascii="Times New Roman" w:eastAsia="仿宋" w:hAnsi="Times New Roman"/>
          <w:b/>
          <w:bCs/>
        </w:rPr>
      </w:pPr>
      <w:r>
        <w:rPr>
          <w:rFonts w:ascii="Times New Roman" w:eastAsia="仿宋" w:hAnsi="Times New Roman" w:hint="eastAsia"/>
          <w:b/>
          <w:bCs/>
        </w:rPr>
        <w:t>图</w:t>
      </w:r>
      <w:r>
        <w:rPr>
          <w:rFonts w:ascii="Times New Roman" w:eastAsia="仿宋" w:hAnsi="Times New Roman" w:hint="eastAsia"/>
          <w:b/>
          <w:bCs/>
        </w:rPr>
        <w:t>5</w:t>
      </w:r>
      <w:r>
        <w:rPr>
          <w:rFonts w:ascii="Times New Roman" w:eastAsia="仿宋" w:hAnsi="Times New Roman" w:hint="eastAsia"/>
          <w:b/>
          <w:bCs/>
        </w:rPr>
        <w:t>：量化多头主要百亿私募产品年度平均收益、最大回撤及</w:t>
      </w:r>
      <w:r>
        <w:rPr>
          <w:rFonts w:ascii="Times New Roman" w:eastAsia="仿宋" w:hAnsi="Times New Roman" w:hint="eastAsia"/>
          <w:b/>
          <w:bCs/>
        </w:rPr>
        <w:t>12</w:t>
      </w:r>
      <w:r>
        <w:rPr>
          <w:rFonts w:ascii="Times New Roman" w:eastAsia="仿宋" w:hAnsi="Times New Roman" w:hint="eastAsia"/>
          <w:b/>
          <w:bCs/>
        </w:rPr>
        <w:t>月度收益变动统计</w:t>
      </w:r>
    </w:p>
    <w:p w:rsidR="00B3218C" w:rsidRDefault="00314DF5">
      <w:pPr>
        <w:ind w:firstLineChars="200" w:firstLine="420"/>
        <w:rPr>
          <w:rFonts w:ascii="Times New Roman" w:eastAsia="仿宋" w:hAnsi="Times New Roman"/>
        </w:rPr>
      </w:pPr>
      <w:r>
        <w:rPr>
          <w:rFonts w:ascii="Times New Roman" w:eastAsia="仿宋" w:hAnsi="Times New Roman"/>
          <w:noProof/>
        </w:rPr>
        <w:drawing>
          <wp:inline distT="0" distB="0" distL="114300" distR="114300">
            <wp:extent cx="5227320" cy="2400300"/>
            <wp:effectExtent l="0" t="0" r="0" b="762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8C" w:rsidRDefault="00B3218C">
      <w:pPr>
        <w:ind w:firstLineChars="200" w:firstLine="420"/>
        <w:rPr>
          <w:rFonts w:ascii="Times New Roman" w:eastAsia="仿宋" w:hAnsi="Times New Roman"/>
        </w:rPr>
      </w:pPr>
    </w:p>
    <w:p w:rsidR="00B3218C" w:rsidRDefault="00314DF5">
      <w:pPr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  <w:b/>
          <w:bCs/>
        </w:rPr>
        <w:t>①</w:t>
      </w:r>
      <w:proofErr w:type="gramStart"/>
      <w:r>
        <w:rPr>
          <w:rFonts w:ascii="Times New Roman" w:eastAsia="仿宋" w:hAnsi="Times New Roman" w:hint="eastAsia"/>
          <w:b/>
          <w:bCs/>
        </w:rPr>
        <w:t>鸣石投资</w:t>
      </w:r>
      <w:proofErr w:type="gramEnd"/>
      <w:r>
        <w:rPr>
          <w:rFonts w:ascii="Times New Roman" w:eastAsia="仿宋" w:hAnsi="Times New Roman" w:hint="eastAsia"/>
          <w:b/>
          <w:bCs/>
        </w:rPr>
        <w:t>：</w:t>
      </w:r>
      <w:r>
        <w:rPr>
          <w:rFonts w:ascii="Times New Roman" w:eastAsia="仿宋" w:hAnsi="Times New Roman" w:hint="eastAsia"/>
        </w:rPr>
        <w:t>截至</w:t>
      </w:r>
      <w:r>
        <w:rPr>
          <w:rFonts w:ascii="Times New Roman" w:eastAsia="仿宋" w:hAnsi="Times New Roman" w:hint="eastAsia"/>
        </w:rPr>
        <w:t>12</w:t>
      </w:r>
      <w:r>
        <w:rPr>
          <w:rFonts w:ascii="Times New Roman" w:eastAsia="仿宋" w:hAnsi="Times New Roman" w:hint="eastAsia"/>
        </w:rPr>
        <w:t>月</w:t>
      </w:r>
      <w:r>
        <w:rPr>
          <w:rFonts w:ascii="Times New Roman" w:eastAsia="仿宋" w:hAnsi="Times New Roman" w:hint="eastAsia"/>
        </w:rPr>
        <w:t>31</w:t>
      </w:r>
      <w:r>
        <w:rPr>
          <w:rFonts w:ascii="Times New Roman" w:eastAsia="仿宋" w:hAnsi="Times New Roman" w:hint="eastAsia"/>
        </w:rPr>
        <w:t>日，</w:t>
      </w:r>
      <w:proofErr w:type="gramStart"/>
      <w:r>
        <w:rPr>
          <w:rFonts w:ascii="Times New Roman" w:eastAsia="仿宋" w:hAnsi="Times New Roman" w:hint="eastAsia"/>
        </w:rPr>
        <w:t>鸣石投资</w:t>
      </w:r>
      <w:proofErr w:type="gramEnd"/>
      <w:r>
        <w:rPr>
          <w:rFonts w:ascii="Times New Roman" w:eastAsia="仿宋" w:hAnsi="Times New Roman" w:hint="eastAsia"/>
        </w:rPr>
        <w:t>18</w:t>
      </w:r>
      <w:r>
        <w:rPr>
          <w:rFonts w:ascii="Times New Roman" w:eastAsia="仿宋" w:hAnsi="Times New Roman" w:hint="eastAsia"/>
        </w:rPr>
        <w:t>只产品平均</w:t>
      </w:r>
      <w:r>
        <w:rPr>
          <w:rFonts w:ascii="Times New Roman" w:eastAsia="仿宋" w:hAnsi="Times New Roman" w:hint="eastAsia"/>
        </w:rPr>
        <w:t>YTD</w:t>
      </w:r>
      <w:r>
        <w:rPr>
          <w:rFonts w:ascii="Times New Roman" w:eastAsia="仿宋" w:hAnsi="Times New Roman" w:hint="eastAsia"/>
        </w:rPr>
        <w:t>收益率</w:t>
      </w:r>
      <w:r>
        <w:rPr>
          <w:rFonts w:ascii="Times New Roman" w:eastAsia="仿宋" w:hAnsi="Times New Roman" w:hint="eastAsia"/>
        </w:rPr>
        <w:t>45.25%</w:t>
      </w:r>
      <w:r>
        <w:rPr>
          <w:rFonts w:ascii="Times New Roman" w:eastAsia="仿宋" w:hAnsi="Times New Roman" w:hint="eastAsia"/>
        </w:rPr>
        <w:t>，平均最大回撤</w:t>
      </w:r>
      <w:r>
        <w:rPr>
          <w:rFonts w:ascii="Times New Roman" w:eastAsia="仿宋" w:hAnsi="Times New Roman" w:hint="eastAsia"/>
        </w:rPr>
        <w:t>16.85%</w:t>
      </w:r>
      <w:r>
        <w:rPr>
          <w:rFonts w:ascii="Times New Roman" w:eastAsia="仿宋" w:hAnsi="Times New Roman" w:hint="eastAsia"/>
        </w:rPr>
        <w:t>，平均月度</w:t>
      </w:r>
      <w:r>
        <w:rPr>
          <w:rFonts w:ascii="Times New Roman" w:eastAsia="仿宋" w:hAnsi="Times New Roman" w:hint="eastAsia"/>
        </w:rPr>
        <w:t>YTD</w:t>
      </w:r>
      <w:r>
        <w:rPr>
          <w:rFonts w:ascii="Times New Roman" w:eastAsia="仿宋" w:hAnsi="Times New Roman" w:hint="eastAsia"/>
        </w:rPr>
        <w:t>下降</w:t>
      </w:r>
      <w:r>
        <w:rPr>
          <w:rFonts w:ascii="Times New Roman" w:eastAsia="仿宋" w:hAnsi="Times New Roman" w:hint="eastAsia"/>
        </w:rPr>
        <w:t>3.18%</w:t>
      </w:r>
      <w:r>
        <w:rPr>
          <w:rFonts w:ascii="Times New Roman" w:eastAsia="仿宋" w:hAnsi="Times New Roman" w:hint="eastAsia"/>
        </w:rPr>
        <w:t>，</w:t>
      </w:r>
      <w:r>
        <w:rPr>
          <w:rFonts w:ascii="Times New Roman" w:eastAsia="仿宋" w:hAnsi="Times New Roman" w:hint="eastAsia"/>
        </w:rPr>
        <w:t>12</w:t>
      </w:r>
      <w:r>
        <w:rPr>
          <w:rFonts w:ascii="Times New Roman" w:eastAsia="仿宋" w:hAnsi="Times New Roman" w:hint="eastAsia"/>
        </w:rPr>
        <w:t>月度该策略</w:t>
      </w:r>
      <w:proofErr w:type="gramStart"/>
      <w:r>
        <w:rPr>
          <w:rFonts w:ascii="Times New Roman" w:eastAsia="仿宋" w:hAnsi="Times New Roman" w:hint="eastAsia"/>
        </w:rPr>
        <w:t>全产品</w:t>
      </w:r>
      <w:proofErr w:type="gramEnd"/>
      <w:r>
        <w:rPr>
          <w:rFonts w:ascii="Times New Roman" w:eastAsia="仿宋" w:hAnsi="Times New Roman" w:hint="eastAsia"/>
        </w:rPr>
        <w:t>经历小幅回撤。</w:t>
      </w:r>
    </w:p>
    <w:p w:rsidR="00B3218C" w:rsidRDefault="00314DF5">
      <w:pPr>
        <w:jc w:val="left"/>
        <w:rPr>
          <w:rFonts w:ascii="Times New Roman" w:eastAsia="仿宋" w:hAnsi="Times New Roman"/>
        </w:rPr>
      </w:pPr>
      <w:r>
        <w:rPr>
          <w:rFonts w:ascii="Times New Roman" w:eastAsia="仿宋" w:hAnsi="Times New Roman"/>
          <w:noProof/>
        </w:rPr>
        <w:drawing>
          <wp:inline distT="0" distB="0" distL="114300" distR="114300">
            <wp:extent cx="5268595" cy="1725930"/>
            <wp:effectExtent l="0" t="0" r="4445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8C" w:rsidRDefault="00B3218C">
      <w:pPr>
        <w:ind w:firstLineChars="200" w:firstLine="420"/>
        <w:rPr>
          <w:rFonts w:ascii="Times New Roman" w:eastAsia="仿宋" w:hAnsi="Times New Roman"/>
        </w:rPr>
      </w:pPr>
    </w:p>
    <w:p w:rsidR="00B3218C" w:rsidRDefault="00314DF5">
      <w:pPr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  <w:b/>
          <w:bCs/>
        </w:rPr>
        <w:t>②金锝资产：</w:t>
      </w:r>
      <w:r>
        <w:rPr>
          <w:rFonts w:ascii="Times New Roman" w:eastAsia="仿宋" w:hAnsi="Times New Roman" w:hint="eastAsia"/>
        </w:rPr>
        <w:t>截至</w:t>
      </w:r>
      <w:r>
        <w:rPr>
          <w:rFonts w:ascii="Times New Roman" w:eastAsia="仿宋" w:hAnsi="Times New Roman" w:hint="eastAsia"/>
        </w:rPr>
        <w:t>12</w:t>
      </w:r>
      <w:r>
        <w:rPr>
          <w:rFonts w:ascii="Times New Roman" w:eastAsia="仿宋" w:hAnsi="Times New Roman" w:hint="eastAsia"/>
        </w:rPr>
        <w:t>月</w:t>
      </w:r>
      <w:r>
        <w:rPr>
          <w:rFonts w:ascii="Times New Roman" w:eastAsia="仿宋" w:hAnsi="Times New Roman" w:hint="eastAsia"/>
        </w:rPr>
        <w:t>31</w:t>
      </w:r>
      <w:r>
        <w:rPr>
          <w:rFonts w:ascii="Times New Roman" w:eastAsia="仿宋" w:hAnsi="Times New Roman" w:hint="eastAsia"/>
        </w:rPr>
        <w:t>日，金</w:t>
      </w:r>
      <w:proofErr w:type="gramStart"/>
      <w:r>
        <w:rPr>
          <w:rFonts w:ascii="Times New Roman" w:eastAsia="仿宋" w:hAnsi="Times New Roman" w:hint="eastAsia"/>
        </w:rPr>
        <w:t>锝资产</w:t>
      </w:r>
      <w:proofErr w:type="gramEnd"/>
      <w:r>
        <w:rPr>
          <w:rFonts w:ascii="Times New Roman" w:eastAsia="仿宋" w:hAnsi="Times New Roman" w:hint="eastAsia"/>
        </w:rPr>
        <w:t>17</w:t>
      </w:r>
      <w:r>
        <w:rPr>
          <w:rFonts w:ascii="Times New Roman" w:eastAsia="仿宋" w:hAnsi="Times New Roman" w:hint="eastAsia"/>
        </w:rPr>
        <w:t>只产品平均</w:t>
      </w:r>
      <w:r>
        <w:rPr>
          <w:rFonts w:ascii="Times New Roman" w:eastAsia="仿宋" w:hAnsi="Times New Roman" w:hint="eastAsia"/>
        </w:rPr>
        <w:t>YTD</w:t>
      </w:r>
      <w:r>
        <w:rPr>
          <w:rFonts w:ascii="Times New Roman" w:eastAsia="仿宋" w:hAnsi="Times New Roman" w:hint="eastAsia"/>
        </w:rPr>
        <w:t>收益率</w:t>
      </w:r>
      <w:r>
        <w:rPr>
          <w:rFonts w:ascii="Times New Roman" w:eastAsia="仿宋" w:hAnsi="Times New Roman" w:hint="eastAsia"/>
        </w:rPr>
        <w:t>39.57%</w:t>
      </w:r>
      <w:r>
        <w:rPr>
          <w:rFonts w:ascii="Times New Roman" w:eastAsia="仿宋" w:hAnsi="Times New Roman" w:hint="eastAsia"/>
        </w:rPr>
        <w:t>，平均最大回撤</w:t>
      </w:r>
      <w:r>
        <w:rPr>
          <w:rFonts w:ascii="Times New Roman" w:eastAsia="仿宋" w:hAnsi="Times New Roman" w:hint="eastAsia"/>
        </w:rPr>
        <w:t>13.03%</w:t>
      </w:r>
      <w:r>
        <w:rPr>
          <w:rFonts w:ascii="Times New Roman" w:eastAsia="仿宋" w:hAnsi="Times New Roman" w:hint="eastAsia"/>
        </w:rPr>
        <w:t>，平均月度</w:t>
      </w:r>
      <w:r>
        <w:rPr>
          <w:rFonts w:ascii="Times New Roman" w:eastAsia="仿宋" w:hAnsi="Times New Roman" w:hint="eastAsia"/>
        </w:rPr>
        <w:t>YTD</w:t>
      </w:r>
      <w:r>
        <w:rPr>
          <w:rFonts w:ascii="Times New Roman" w:eastAsia="仿宋" w:hAnsi="Times New Roman" w:hint="eastAsia"/>
        </w:rPr>
        <w:t>下降</w:t>
      </w:r>
      <w:r>
        <w:rPr>
          <w:rFonts w:ascii="Times New Roman" w:eastAsia="仿宋" w:hAnsi="Times New Roman" w:hint="eastAsia"/>
        </w:rPr>
        <w:t>0.11%</w:t>
      </w:r>
      <w:r>
        <w:rPr>
          <w:rFonts w:ascii="Times New Roman" w:eastAsia="仿宋" w:hAnsi="Times New Roman" w:hint="eastAsia"/>
        </w:rPr>
        <w:t>，</w:t>
      </w:r>
      <w:r>
        <w:rPr>
          <w:rFonts w:ascii="Times New Roman" w:eastAsia="仿宋" w:hAnsi="Times New Roman" w:hint="eastAsia"/>
        </w:rPr>
        <w:t>12</w:t>
      </w:r>
      <w:r>
        <w:rPr>
          <w:rFonts w:ascii="Times New Roman" w:eastAsia="仿宋" w:hAnsi="Times New Roman" w:hint="eastAsia"/>
        </w:rPr>
        <w:t>月度该策略除</w:t>
      </w:r>
      <w:r>
        <w:rPr>
          <w:rFonts w:ascii="Times New Roman" w:eastAsia="仿宋" w:hAnsi="Times New Roman" w:hint="eastAsia"/>
        </w:rPr>
        <w:t>500</w:t>
      </w:r>
      <w:proofErr w:type="gramStart"/>
      <w:r>
        <w:rPr>
          <w:rFonts w:ascii="Times New Roman" w:eastAsia="仿宋" w:hAnsi="Times New Roman" w:hint="eastAsia"/>
        </w:rPr>
        <w:t>指增系列</w:t>
      </w:r>
      <w:proofErr w:type="gramEnd"/>
      <w:r>
        <w:rPr>
          <w:rFonts w:ascii="Times New Roman" w:eastAsia="仿宋" w:hAnsi="Times New Roman" w:hint="eastAsia"/>
        </w:rPr>
        <w:t>3</w:t>
      </w:r>
      <w:r>
        <w:rPr>
          <w:rFonts w:ascii="Times New Roman" w:eastAsia="仿宋" w:hAnsi="Times New Roman" w:hint="eastAsia"/>
        </w:rPr>
        <w:t>只平均上升</w:t>
      </w:r>
      <w:r>
        <w:rPr>
          <w:rFonts w:ascii="Times New Roman" w:eastAsia="仿宋" w:hAnsi="Times New Roman" w:hint="eastAsia"/>
        </w:rPr>
        <w:t>1.05%</w:t>
      </w:r>
      <w:r>
        <w:rPr>
          <w:rFonts w:ascii="Times New Roman" w:eastAsia="仿宋" w:hAnsi="Times New Roman" w:hint="eastAsia"/>
        </w:rPr>
        <w:t>外，其余</w:t>
      </w:r>
      <w:r>
        <w:rPr>
          <w:rFonts w:ascii="Times New Roman" w:eastAsia="仿宋" w:hAnsi="Times New Roman" w:hint="eastAsia"/>
        </w:rPr>
        <w:t>1000</w:t>
      </w:r>
      <w:r>
        <w:rPr>
          <w:rFonts w:ascii="Times New Roman" w:eastAsia="仿宋" w:hAnsi="Times New Roman" w:hint="eastAsia"/>
        </w:rPr>
        <w:t>指增产品均经历小幅回撤。</w:t>
      </w:r>
    </w:p>
    <w:p w:rsidR="00B3218C" w:rsidRDefault="00314DF5">
      <w:pPr>
        <w:jc w:val="center"/>
        <w:rPr>
          <w:rFonts w:ascii="Times New Roman" w:eastAsia="仿宋" w:hAnsi="Times New Roman"/>
        </w:rPr>
      </w:pPr>
      <w:r>
        <w:rPr>
          <w:rFonts w:ascii="Times New Roman" w:eastAsia="仿宋" w:hAnsi="Times New Roman"/>
          <w:noProof/>
        </w:rPr>
        <w:drawing>
          <wp:inline distT="0" distB="0" distL="114300" distR="114300">
            <wp:extent cx="5269230" cy="1889760"/>
            <wp:effectExtent l="0" t="0" r="381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8C" w:rsidRDefault="00314DF5">
      <w:pPr>
        <w:spacing w:line="360" w:lineRule="auto"/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 w:hint="eastAsia"/>
          <w:b/>
          <w:bCs/>
          <w:sz w:val="24"/>
          <w:szCs w:val="32"/>
        </w:rPr>
        <w:lastRenderedPageBreak/>
        <w:t>③</w:t>
      </w:r>
      <w:proofErr w:type="gramStart"/>
      <w:r>
        <w:rPr>
          <w:rFonts w:ascii="Times New Roman" w:eastAsia="仿宋" w:hAnsi="Times New Roman" w:hint="eastAsia"/>
          <w:b/>
          <w:bCs/>
          <w:sz w:val="24"/>
          <w:szCs w:val="32"/>
        </w:rPr>
        <w:t>聚宽投资</w:t>
      </w:r>
      <w:proofErr w:type="gramEnd"/>
      <w:r>
        <w:rPr>
          <w:rFonts w:ascii="Times New Roman" w:eastAsia="仿宋" w:hAnsi="Times New Roman" w:hint="eastAsia"/>
          <w:b/>
          <w:bCs/>
          <w:sz w:val="24"/>
          <w:szCs w:val="32"/>
        </w:rPr>
        <w:t>：</w:t>
      </w:r>
      <w:r>
        <w:rPr>
          <w:rFonts w:ascii="Times New Roman" w:eastAsia="仿宋" w:hAnsi="Times New Roman" w:hint="eastAsia"/>
          <w:sz w:val="24"/>
          <w:szCs w:val="32"/>
        </w:rPr>
        <w:t>截至</w:t>
      </w:r>
      <w:r>
        <w:rPr>
          <w:rFonts w:ascii="Times New Roman" w:eastAsia="仿宋" w:hAnsi="Times New Roman" w:hint="eastAsia"/>
          <w:sz w:val="24"/>
          <w:szCs w:val="32"/>
        </w:rPr>
        <w:t>12</w:t>
      </w:r>
      <w:r>
        <w:rPr>
          <w:rFonts w:ascii="Times New Roman" w:eastAsia="仿宋" w:hAnsi="Times New Roman" w:hint="eastAsia"/>
          <w:sz w:val="24"/>
          <w:szCs w:val="32"/>
        </w:rPr>
        <w:t>月</w:t>
      </w:r>
      <w:r>
        <w:rPr>
          <w:rFonts w:ascii="Times New Roman" w:eastAsia="仿宋" w:hAnsi="Times New Roman" w:hint="eastAsia"/>
          <w:sz w:val="24"/>
          <w:szCs w:val="32"/>
        </w:rPr>
        <w:t>31</w:t>
      </w:r>
      <w:r>
        <w:rPr>
          <w:rFonts w:ascii="Times New Roman" w:eastAsia="仿宋" w:hAnsi="Times New Roman" w:hint="eastAsia"/>
          <w:sz w:val="24"/>
          <w:szCs w:val="32"/>
        </w:rPr>
        <w:t>日，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聚宽投资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16</w:t>
      </w:r>
      <w:r>
        <w:rPr>
          <w:rFonts w:ascii="Times New Roman" w:eastAsia="仿宋" w:hAnsi="Times New Roman" w:hint="eastAsia"/>
          <w:sz w:val="24"/>
          <w:szCs w:val="32"/>
        </w:rPr>
        <w:t>只产品平均</w:t>
      </w:r>
      <w:r>
        <w:rPr>
          <w:rFonts w:ascii="Times New Roman" w:eastAsia="仿宋" w:hAnsi="Times New Roman" w:hint="eastAsia"/>
          <w:sz w:val="24"/>
          <w:szCs w:val="32"/>
        </w:rPr>
        <w:t>YTD</w:t>
      </w:r>
      <w:r>
        <w:rPr>
          <w:rFonts w:ascii="Times New Roman" w:eastAsia="仿宋" w:hAnsi="Times New Roman" w:hint="eastAsia"/>
          <w:sz w:val="24"/>
          <w:szCs w:val="32"/>
        </w:rPr>
        <w:t>收益率</w:t>
      </w:r>
      <w:r>
        <w:rPr>
          <w:rFonts w:ascii="Times New Roman" w:eastAsia="仿宋" w:hAnsi="Times New Roman" w:hint="eastAsia"/>
          <w:sz w:val="24"/>
          <w:szCs w:val="32"/>
        </w:rPr>
        <w:t>36.97%</w:t>
      </w:r>
      <w:r>
        <w:rPr>
          <w:rFonts w:ascii="Times New Roman" w:eastAsia="仿宋" w:hAnsi="Times New Roman" w:hint="eastAsia"/>
          <w:sz w:val="24"/>
          <w:szCs w:val="32"/>
        </w:rPr>
        <w:t>，平均最大回撤</w:t>
      </w:r>
      <w:r>
        <w:rPr>
          <w:rFonts w:ascii="Times New Roman" w:eastAsia="仿宋" w:hAnsi="Times New Roman" w:hint="eastAsia"/>
          <w:sz w:val="24"/>
          <w:szCs w:val="32"/>
        </w:rPr>
        <w:t>11.42%</w:t>
      </w:r>
      <w:r>
        <w:rPr>
          <w:rFonts w:ascii="Times New Roman" w:eastAsia="仿宋" w:hAnsi="Times New Roman" w:hint="eastAsia"/>
          <w:sz w:val="24"/>
          <w:szCs w:val="32"/>
        </w:rPr>
        <w:t>，平均月度</w:t>
      </w:r>
      <w:r>
        <w:rPr>
          <w:rFonts w:ascii="Times New Roman" w:eastAsia="仿宋" w:hAnsi="Times New Roman" w:hint="eastAsia"/>
          <w:sz w:val="24"/>
          <w:szCs w:val="32"/>
        </w:rPr>
        <w:t>YTD</w:t>
      </w:r>
      <w:r>
        <w:rPr>
          <w:rFonts w:ascii="Times New Roman" w:eastAsia="仿宋" w:hAnsi="Times New Roman" w:hint="eastAsia"/>
          <w:sz w:val="24"/>
          <w:szCs w:val="32"/>
        </w:rPr>
        <w:t>下降</w:t>
      </w:r>
      <w:r>
        <w:rPr>
          <w:rFonts w:ascii="Times New Roman" w:eastAsia="仿宋" w:hAnsi="Times New Roman" w:hint="eastAsia"/>
          <w:sz w:val="24"/>
          <w:szCs w:val="32"/>
        </w:rPr>
        <w:t>2.52%</w:t>
      </w:r>
      <w:r>
        <w:rPr>
          <w:rFonts w:ascii="Times New Roman" w:eastAsia="仿宋" w:hAnsi="Times New Roman" w:hint="eastAsia"/>
          <w:sz w:val="24"/>
          <w:szCs w:val="32"/>
        </w:rPr>
        <w:t>，</w:t>
      </w:r>
      <w:r>
        <w:rPr>
          <w:rFonts w:ascii="Times New Roman" w:eastAsia="仿宋" w:hAnsi="Times New Roman" w:hint="eastAsia"/>
          <w:sz w:val="24"/>
          <w:szCs w:val="32"/>
        </w:rPr>
        <w:t>12</w:t>
      </w:r>
      <w:r>
        <w:rPr>
          <w:rFonts w:ascii="Times New Roman" w:eastAsia="仿宋" w:hAnsi="Times New Roman" w:hint="eastAsia"/>
          <w:sz w:val="24"/>
          <w:szCs w:val="32"/>
        </w:rPr>
        <w:t>月度该策略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全产品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经历小幅回撤。</w:t>
      </w:r>
    </w:p>
    <w:p w:rsidR="00B3218C" w:rsidRDefault="00314DF5">
      <w:pPr>
        <w:spacing w:line="360" w:lineRule="auto"/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/>
          <w:noProof/>
          <w:sz w:val="24"/>
          <w:szCs w:val="32"/>
        </w:rPr>
        <w:drawing>
          <wp:inline distT="0" distB="0" distL="114300" distR="114300">
            <wp:extent cx="5269230" cy="1791970"/>
            <wp:effectExtent l="0" t="0" r="381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8C" w:rsidRDefault="00B3218C">
      <w:pPr>
        <w:spacing w:line="360" w:lineRule="auto"/>
        <w:rPr>
          <w:rFonts w:ascii="Times New Roman" w:eastAsia="仿宋" w:hAnsi="Times New Roman"/>
          <w:sz w:val="24"/>
          <w:szCs w:val="32"/>
        </w:rPr>
      </w:pPr>
    </w:p>
    <w:p w:rsidR="00B3218C" w:rsidRDefault="00314DF5">
      <w:pPr>
        <w:spacing w:line="360" w:lineRule="auto"/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 w:hint="eastAsia"/>
          <w:b/>
          <w:bCs/>
          <w:sz w:val="24"/>
          <w:szCs w:val="32"/>
        </w:rPr>
        <w:t>④</w:t>
      </w:r>
      <w:proofErr w:type="gramStart"/>
      <w:r>
        <w:rPr>
          <w:rFonts w:ascii="Times New Roman" w:eastAsia="仿宋" w:hAnsi="Times New Roman" w:hint="eastAsia"/>
          <w:b/>
          <w:bCs/>
          <w:sz w:val="24"/>
          <w:szCs w:val="32"/>
        </w:rPr>
        <w:t>因诺资产</w:t>
      </w:r>
      <w:proofErr w:type="gramEnd"/>
      <w:r>
        <w:rPr>
          <w:rFonts w:ascii="Times New Roman" w:eastAsia="仿宋" w:hAnsi="Times New Roman" w:hint="eastAsia"/>
          <w:b/>
          <w:bCs/>
          <w:sz w:val="24"/>
          <w:szCs w:val="32"/>
        </w:rPr>
        <w:t>：</w:t>
      </w:r>
      <w:r>
        <w:rPr>
          <w:rFonts w:ascii="Times New Roman" w:eastAsia="仿宋" w:hAnsi="Times New Roman" w:hint="eastAsia"/>
          <w:sz w:val="24"/>
          <w:szCs w:val="32"/>
        </w:rPr>
        <w:t>截至</w:t>
      </w:r>
      <w:r>
        <w:rPr>
          <w:rFonts w:ascii="Times New Roman" w:eastAsia="仿宋" w:hAnsi="Times New Roman" w:hint="eastAsia"/>
          <w:sz w:val="24"/>
          <w:szCs w:val="32"/>
        </w:rPr>
        <w:t>12</w:t>
      </w:r>
      <w:r>
        <w:rPr>
          <w:rFonts w:ascii="Times New Roman" w:eastAsia="仿宋" w:hAnsi="Times New Roman" w:hint="eastAsia"/>
          <w:sz w:val="24"/>
          <w:szCs w:val="32"/>
        </w:rPr>
        <w:t>月</w:t>
      </w:r>
      <w:r>
        <w:rPr>
          <w:rFonts w:ascii="Times New Roman" w:eastAsia="仿宋" w:hAnsi="Times New Roman" w:hint="eastAsia"/>
          <w:sz w:val="24"/>
          <w:szCs w:val="32"/>
        </w:rPr>
        <w:t>31</w:t>
      </w:r>
      <w:r>
        <w:rPr>
          <w:rFonts w:ascii="Times New Roman" w:eastAsia="仿宋" w:hAnsi="Times New Roman" w:hint="eastAsia"/>
          <w:sz w:val="24"/>
          <w:szCs w:val="32"/>
        </w:rPr>
        <w:t>日，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因诺资产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9</w:t>
      </w:r>
      <w:r>
        <w:rPr>
          <w:rFonts w:ascii="Times New Roman" w:eastAsia="仿宋" w:hAnsi="Times New Roman" w:hint="eastAsia"/>
          <w:sz w:val="24"/>
          <w:szCs w:val="32"/>
        </w:rPr>
        <w:t>只产品平均</w:t>
      </w:r>
      <w:r>
        <w:rPr>
          <w:rFonts w:ascii="Times New Roman" w:eastAsia="仿宋" w:hAnsi="Times New Roman" w:hint="eastAsia"/>
          <w:sz w:val="24"/>
          <w:szCs w:val="32"/>
        </w:rPr>
        <w:t>YTD</w:t>
      </w:r>
      <w:r>
        <w:rPr>
          <w:rFonts w:ascii="Times New Roman" w:eastAsia="仿宋" w:hAnsi="Times New Roman" w:hint="eastAsia"/>
          <w:sz w:val="24"/>
          <w:szCs w:val="32"/>
        </w:rPr>
        <w:t>收益率</w:t>
      </w:r>
      <w:r>
        <w:rPr>
          <w:rFonts w:ascii="Times New Roman" w:eastAsia="仿宋" w:hAnsi="Times New Roman" w:hint="eastAsia"/>
          <w:sz w:val="24"/>
          <w:szCs w:val="32"/>
        </w:rPr>
        <w:t>33.40%</w:t>
      </w:r>
      <w:r>
        <w:rPr>
          <w:rFonts w:ascii="Times New Roman" w:eastAsia="仿宋" w:hAnsi="Times New Roman" w:hint="eastAsia"/>
          <w:sz w:val="24"/>
          <w:szCs w:val="32"/>
        </w:rPr>
        <w:t>，平均最大回撤</w:t>
      </w:r>
      <w:r>
        <w:rPr>
          <w:rFonts w:ascii="Times New Roman" w:eastAsia="仿宋" w:hAnsi="Times New Roman" w:hint="eastAsia"/>
          <w:sz w:val="24"/>
          <w:szCs w:val="32"/>
        </w:rPr>
        <w:t>13.57%</w:t>
      </w:r>
      <w:r>
        <w:rPr>
          <w:rFonts w:ascii="Times New Roman" w:eastAsia="仿宋" w:hAnsi="Times New Roman" w:hint="eastAsia"/>
          <w:sz w:val="24"/>
          <w:szCs w:val="32"/>
        </w:rPr>
        <w:t>，平均月度</w:t>
      </w:r>
      <w:r>
        <w:rPr>
          <w:rFonts w:ascii="Times New Roman" w:eastAsia="仿宋" w:hAnsi="Times New Roman" w:hint="eastAsia"/>
          <w:sz w:val="24"/>
          <w:szCs w:val="32"/>
        </w:rPr>
        <w:t>YTD</w:t>
      </w:r>
      <w:r>
        <w:rPr>
          <w:rFonts w:ascii="Times New Roman" w:eastAsia="仿宋" w:hAnsi="Times New Roman" w:hint="eastAsia"/>
          <w:sz w:val="24"/>
          <w:szCs w:val="32"/>
        </w:rPr>
        <w:t>下降</w:t>
      </w:r>
      <w:r>
        <w:rPr>
          <w:rFonts w:ascii="Times New Roman" w:eastAsia="仿宋" w:hAnsi="Times New Roman" w:hint="eastAsia"/>
          <w:sz w:val="24"/>
          <w:szCs w:val="32"/>
        </w:rPr>
        <w:t>4.08%</w:t>
      </w:r>
      <w:r>
        <w:rPr>
          <w:rFonts w:ascii="Times New Roman" w:eastAsia="仿宋" w:hAnsi="Times New Roman" w:hint="eastAsia"/>
          <w:sz w:val="24"/>
          <w:szCs w:val="32"/>
        </w:rPr>
        <w:t>，</w:t>
      </w:r>
      <w:r>
        <w:rPr>
          <w:rFonts w:ascii="Times New Roman" w:eastAsia="仿宋" w:hAnsi="Times New Roman" w:hint="eastAsia"/>
          <w:sz w:val="24"/>
          <w:szCs w:val="32"/>
        </w:rPr>
        <w:t>12</w:t>
      </w:r>
      <w:r>
        <w:rPr>
          <w:rFonts w:ascii="Times New Roman" w:eastAsia="仿宋" w:hAnsi="Times New Roman" w:hint="eastAsia"/>
          <w:sz w:val="24"/>
          <w:szCs w:val="32"/>
        </w:rPr>
        <w:t>月度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因诺资产该策略全产品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回撤百分比为百亿私募中最大。</w:t>
      </w:r>
    </w:p>
    <w:p w:rsidR="00B3218C" w:rsidRDefault="00314DF5">
      <w:pPr>
        <w:spacing w:line="360" w:lineRule="auto"/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/>
          <w:noProof/>
          <w:sz w:val="24"/>
          <w:szCs w:val="32"/>
        </w:rPr>
        <w:drawing>
          <wp:inline distT="0" distB="0" distL="114300" distR="114300">
            <wp:extent cx="5273675" cy="1162685"/>
            <wp:effectExtent l="0" t="0" r="14605" b="1079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8C" w:rsidRDefault="00B3218C">
      <w:pPr>
        <w:spacing w:line="360" w:lineRule="auto"/>
        <w:rPr>
          <w:rFonts w:ascii="Times New Roman" w:eastAsia="仿宋" w:hAnsi="Times New Roman"/>
          <w:sz w:val="24"/>
          <w:szCs w:val="32"/>
        </w:rPr>
      </w:pPr>
    </w:p>
    <w:p w:rsidR="00B3218C" w:rsidRDefault="00B3218C">
      <w:pPr>
        <w:spacing w:line="360" w:lineRule="auto"/>
        <w:rPr>
          <w:rFonts w:ascii="Times New Roman" w:eastAsia="仿宋" w:hAnsi="Times New Roman"/>
          <w:sz w:val="24"/>
          <w:szCs w:val="32"/>
        </w:rPr>
      </w:pPr>
    </w:p>
    <w:p w:rsidR="00B3218C" w:rsidRDefault="00314DF5">
      <w:pPr>
        <w:spacing w:line="360" w:lineRule="auto"/>
        <w:ind w:firstLineChars="200" w:firstLine="480"/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 w:hint="eastAsia"/>
          <w:sz w:val="24"/>
          <w:szCs w:val="32"/>
        </w:rPr>
        <w:t>管理规模</w:t>
      </w:r>
      <w:r>
        <w:rPr>
          <w:rFonts w:ascii="Times New Roman" w:eastAsia="仿宋" w:hAnsi="Times New Roman" w:hint="eastAsia"/>
          <w:sz w:val="24"/>
          <w:szCs w:val="32"/>
        </w:rPr>
        <w:t>50-100</w:t>
      </w:r>
      <w:r>
        <w:rPr>
          <w:rFonts w:ascii="Times New Roman" w:eastAsia="仿宋" w:hAnsi="Times New Roman" w:hint="eastAsia"/>
          <w:sz w:val="24"/>
          <w:szCs w:val="32"/>
        </w:rPr>
        <w:t>亿私募</w:t>
      </w:r>
      <w:r>
        <w:rPr>
          <w:rFonts w:ascii="Times New Roman" w:eastAsia="仿宋" w:hAnsi="Times New Roman" w:hint="eastAsia"/>
          <w:sz w:val="24"/>
          <w:szCs w:val="32"/>
        </w:rPr>
        <w:t>12</w:t>
      </w:r>
      <w:r>
        <w:rPr>
          <w:rFonts w:ascii="Times New Roman" w:eastAsia="仿宋" w:hAnsi="Times New Roman" w:hint="eastAsia"/>
          <w:sz w:val="24"/>
          <w:szCs w:val="32"/>
        </w:rPr>
        <w:t>月度整体表现良好，除去</w:t>
      </w:r>
      <w:r>
        <w:rPr>
          <w:rFonts w:ascii="Times New Roman" w:eastAsia="仿宋" w:hAnsi="Times New Roman" w:hint="eastAsia"/>
          <w:sz w:val="24"/>
          <w:szCs w:val="32"/>
        </w:rPr>
        <w:t>37.53%</w:t>
      </w:r>
      <w:r>
        <w:rPr>
          <w:rFonts w:ascii="Times New Roman" w:eastAsia="仿宋" w:hAnsi="Times New Roman" w:hint="eastAsia"/>
          <w:sz w:val="24"/>
          <w:szCs w:val="32"/>
        </w:rPr>
        <w:t>增幅的国恩</w:t>
      </w:r>
      <w:r>
        <w:rPr>
          <w:rFonts w:ascii="Times New Roman" w:eastAsia="仿宋" w:hAnsi="Times New Roman" w:hint="eastAsia"/>
          <w:sz w:val="24"/>
          <w:szCs w:val="32"/>
        </w:rPr>
        <w:t>AI</w:t>
      </w:r>
      <w:r>
        <w:rPr>
          <w:rFonts w:ascii="Times New Roman" w:eastAsia="仿宋" w:hAnsi="Times New Roman" w:hint="eastAsia"/>
          <w:sz w:val="24"/>
          <w:szCs w:val="32"/>
        </w:rPr>
        <w:t>高频量化</w:t>
      </w:r>
      <w:r>
        <w:rPr>
          <w:rFonts w:ascii="Times New Roman" w:eastAsia="仿宋" w:hAnsi="Times New Roman" w:hint="eastAsia"/>
          <w:sz w:val="24"/>
          <w:szCs w:val="32"/>
        </w:rPr>
        <w:t>1</w:t>
      </w:r>
      <w:r>
        <w:rPr>
          <w:rFonts w:ascii="Times New Roman" w:eastAsia="仿宋" w:hAnsi="Times New Roman" w:hint="eastAsia"/>
          <w:sz w:val="24"/>
          <w:szCs w:val="32"/>
        </w:rPr>
        <w:t>号，其余平均收益上升</w:t>
      </w:r>
      <w:r>
        <w:rPr>
          <w:rFonts w:ascii="Times New Roman" w:eastAsia="仿宋" w:hAnsi="Times New Roman" w:hint="eastAsia"/>
          <w:sz w:val="24"/>
          <w:szCs w:val="32"/>
        </w:rPr>
        <w:t>2.47%</w:t>
      </w:r>
      <w:r>
        <w:rPr>
          <w:rFonts w:ascii="Times New Roman" w:eastAsia="仿宋" w:hAnsi="Times New Roman" w:hint="eastAsia"/>
          <w:sz w:val="24"/>
          <w:szCs w:val="32"/>
        </w:rPr>
        <w:t>；且除珠海致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诚卓远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两只产品，其余</w:t>
      </w:r>
      <w:r>
        <w:rPr>
          <w:rFonts w:ascii="Times New Roman" w:eastAsia="仿宋" w:hAnsi="Times New Roman" w:hint="eastAsia"/>
          <w:sz w:val="24"/>
          <w:szCs w:val="32"/>
        </w:rPr>
        <w:t>50-100</w:t>
      </w:r>
      <w:r>
        <w:rPr>
          <w:rFonts w:ascii="Times New Roman" w:eastAsia="仿宋" w:hAnsi="Times New Roman" w:hint="eastAsia"/>
          <w:sz w:val="24"/>
          <w:szCs w:val="32"/>
        </w:rPr>
        <w:t>亿私募平均最大回撤仅</w:t>
      </w:r>
      <w:r>
        <w:rPr>
          <w:rFonts w:ascii="Times New Roman" w:eastAsia="仿宋" w:hAnsi="Times New Roman" w:hint="eastAsia"/>
          <w:sz w:val="24"/>
          <w:szCs w:val="32"/>
        </w:rPr>
        <w:t>9.76%</w:t>
      </w:r>
      <w:r>
        <w:rPr>
          <w:rFonts w:ascii="Times New Roman" w:eastAsia="仿宋" w:hAnsi="Times New Roman" w:hint="eastAsia"/>
          <w:sz w:val="24"/>
          <w:szCs w:val="32"/>
        </w:rPr>
        <w:t>，很好地做到了收益和回撤的双线良性发展：</w:t>
      </w:r>
    </w:p>
    <w:p w:rsidR="00B3218C" w:rsidRDefault="00314DF5">
      <w:pPr>
        <w:spacing w:line="360" w:lineRule="auto"/>
        <w:jc w:val="center"/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/>
          <w:noProof/>
          <w:sz w:val="24"/>
          <w:szCs w:val="32"/>
        </w:rPr>
        <w:drawing>
          <wp:inline distT="0" distB="0" distL="114300" distR="114300">
            <wp:extent cx="5273675" cy="1450975"/>
            <wp:effectExtent l="0" t="0" r="14605" b="1206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8C" w:rsidRDefault="00B3218C">
      <w:pPr>
        <w:rPr>
          <w:rFonts w:ascii="Times New Roman" w:eastAsia="仿宋" w:hAnsi="Times New Roman"/>
        </w:rPr>
      </w:pPr>
    </w:p>
    <w:p w:rsidR="00B3218C" w:rsidRDefault="00B3218C">
      <w:pPr>
        <w:rPr>
          <w:rFonts w:ascii="Times New Roman" w:eastAsia="仿宋" w:hAnsi="Times New Roman"/>
        </w:rPr>
      </w:pPr>
    </w:p>
    <w:p w:rsidR="00B3218C" w:rsidRDefault="00314DF5">
      <w:pPr>
        <w:ind w:firstLineChars="200" w:firstLine="480"/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 w:hint="eastAsia"/>
          <w:sz w:val="24"/>
          <w:szCs w:val="32"/>
        </w:rPr>
        <w:lastRenderedPageBreak/>
        <w:t>管理规模</w:t>
      </w:r>
      <w:r>
        <w:rPr>
          <w:rFonts w:ascii="Times New Roman" w:eastAsia="仿宋" w:hAnsi="Times New Roman" w:hint="eastAsia"/>
          <w:sz w:val="24"/>
          <w:szCs w:val="32"/>
        </w:rPr>
        <w:t>20-50</w:t>
      </w:r>
      <w:r>
        <w:rPr>
          <w:rFonts w:ascii="Times New Roman" w:eastAsia="仿宋" w:hAnsi="Times New Roman" w:hint="eastAsia"/>
          <w:sz w:val="24"/>
          <w:szCs w:val="32"/>
        </w:rPr>
        <w:t>亿的私募公司</w:t>
      </w:r>
      <w:r>
        <w:rPr>
          <w:rFonts w:ascii="Times New Roman" w:eastAsia="仿宋" w:hAnsi="Times New Roman" w:hint="eastAsia"/>
          <w:sz w:val="24"/>
          <w:szCs w:val="32"/>
        </w:rPr>
        <w:t>12</w:t>
      </w:r>
      <w:r>
        <w:rPr>
          <w:rFonts w:ascii="Times New Roman" w:eastAsia="仿宋" w:hAnsi="Times New Roman" w:hint="eastAsia"/>
          <w:sz w:val="24"/>
          <w:szCs w:val="32"/>
        </w:rPr>
        <w:t>月度整体表现不佳，除去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源晖投资——源晖科技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成长阿尔法</w:t>
      </w:r>
      <w:r>
        <w:rPr>
          <w:rFonts w:ascii="Times New Roman" w:eastAsia="仿宋" w:hAnsi="Times New Roman" w:hint="eastAsia"/>
          <w:sz w:val="24"/>
          <w:szCs w:val="32"/>
        </w:rPr>
        <w:t>47.91%</w:t>
      </w:r>
      <w:r>
        <w:rPr>
          <w:rFonts w:ascii="Times New Roman" w:eastAsia="仿宋" w:hAnsi="Times New Roman" w:hint="eastAsia"/>
          <w:sz w:val="24"/>
          <w:szCs w:val="32"/>
        </w:rPr>
        <w:t>的降幅外，其余</w:t>
      </w:r>
      <w:r>
        <w:rPr>
          <w:rFonts w:ascii="Times New Roman" w:eastAsia="仿宋" w:hAnsi="Times New Roman" w:hint="eastAsia"/>
          <w:sz w:val="24"/>
          <w:szCs w:val="32"/>
        </w:rPr>
        <w:t>32</w:t>
      </w:r>
      <w:r>
        <w:rPr>
          <w:rFonts w:ascii="Times New Roman" w:eastAsia="仿宋" w:hAnsi="Times New Roman" w:hint="eastAsia"/>
          <w:sz w:val="24"/>
          <w:szCs w:val="32"/>
        </w:rPr>
        <w:t>只产品整体平均回撤</w:t>
      </w:r>
      <w:r>
        <w:rPr>
          <w:rFonts w:ascii="Times New Roman" w:eastAsia="仿宋" w:hAnsi="Times New Roman" w:hint="eastAsia"/>
          <w:sz w:val="24"/>
          <w:szCs w:val="32"/>
        </w:rPr>
        <w:t>2.51%</w:t>
      </w:r>
      <w:r>
        <w:rPr>
          <w:rFonts w:ascii="Times New Roman" w:eastAsia="仿宋" w:hAnsi="Times New Roman" w:hint="eastAsia"/>
          <w:sz w:val="24"/>
          <w:szCs w:val="32"/>
        </w:rPr>
        <w:t>。特别是</w:t>
      </w:r>
      <w:r>
        <w:rPr>
          <w:rFonts w:ascii="Times New Roman" w:eastAsia="仿宋" w:hAnsi="Times New Roman" w:hint="eastAsia"/>
          <w:sz w:val="24"/>
          <w:szCs w:val="32"/>
        </w:rPr>
        <w:t>2021</w:t>
      </w:r>
      <w:r>
        <w:rPr>
          <w:rFonts w:ascii="Times New Roman" w:eastAsia="仿宋" w:hAnsi="Times New Roman" w:hint="eastAsia"/>
          <w:sz w:val="24"/>
          <w:szCs w:val="32"/>
        </w:rPr>
        <w:t>年度整体收益占据前</w:t>
      </w:r>
      <w:r>
        <w:rPr>
          <w:rFonts w:ascii="Times New Roman" w:eastAsia="仿宋" w:hAnsi="Times New Roman" w:hint="eastAsia"/>
          <w:sz w:val="24"/>
          <w:szCs w:val="32"/>
        </w:rPr>
        <w:t>15</w:t>
      </w:r>
      <w:r>
        <w:rPr>
          <w:rFonts w:ascii="Times New Roman" w:eastAsia="仿宋" w:hAnsi="Times New Roman" w:hint="eastAsia"/>
          <w:sz w:val="24"/>
          <w:szCs w:val="32"/>
        </w:rPr>
        <w:t>列席的优美利投资的</w:t>
      </w:r>
      <w:r>
        <w:rPr>
          <w:rFonts w:ascii="Times New Roman" w:eastAsia="仿宋" w:hAnsi="Times New Roman" w:hint="eastAsia"/>
          <w:sz w:val="24"/>
          <w:szCs w:val="32"/>
        </w:rPr>
        <w:t>3</w:t>
      </w:r>
      <w:r>
        <w:rPr>
          <w:rFonts w:ascii="Times New Roman" w:eastAsia="仿宋" w:hAnsi="Times New Roman" w:hint="eastAsia"/>
          <w:sz w:val="24"/>
          <w:szCs w:val="32"/>
        </w:rPr>
        <w:t>只产品，</w:t>
      </w:r>
      <w:r>
        <w:rPr>
          <w:rFonts w:ascii="Times New Roman" w:eastAsia="仿宋" w:hAnsi="Times New Roman" w:hint="eastAsia"/>
          <w:sz w:val="24"/>
          <w:szCs w:val="32"/>
        </w:rPr>
        <w:t>12</w:t>
      </w:r>
      <w:r>
        <w:rPr>
          <w:rFonts w:ascii="Times New Roman" w:eastAsia="仿宋" w:hAnsi="Times New Roman" w:hint="eastAsia"/>
          <w:sz w:val="24"/>
          <w:szCs w:val="32"/>
        </w:rPr>
        <w:t>月度整体经历平均</w:t>
      </w:r>
      <w:r>
        <w:rPr>
          <w:rFonts w:ascii="Times New Roman" w:eastAsia="仿宋" w:hAnsi="Times New Roman" w:hint="eastAsia"/>
          <w:sz w:val="24"/>
          <w:szCs w:val="32"/>
        </w:rPr>
        <w:t>12.94%</w:t>
      </w:r>
      <w:r>
        <w:rPr>
          <w:rFonts w:ascii="Times New Roman" w:eastAsia="仿宋" w:hAnsi="Times New Roman" w:hint="eastAsia"/>
          <w:sz w:val="24"/>
          <w:szCs w:val="32"/>
        </w:rPr>
        <w:t>的回撤，具体数据如下：</w:t>
      </w:r>
    </w:p>
    <w:p w:rsidR="00B3218C" w:rsidRDefault="00B3218C">
      <w:pPr>
        <w:ind w:firstLineChars="200" w:firstLine="420"/>
        <w:rPr>
          <w:rFonts w:ascii="Times New Roman" w:eastAsia="仿宋" w:hAnsi="Times New Roman"/>
        </w:rPr>
      </w:pPr>
    </w:p>
    <w:p w:rsidR="00B3218C" w:rsidRDefault="00314DF5">
      <w:pPr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 w:hint="eastAsia"/>
          <w:b/>
          <w:bCs/>
          <w:sz w:val="24"/>
          <w:szCs w:val="32"/>
        </w:rPr>
        <w:t>①</w:t>
      </w:r>
      <w:proofErr w:type="gramStart"/>
      <w:r>
        <w:rPr>
          <w:rFonts w:ascii="Times New Roman" w:eastAsia="仿宋" w:hAnsi="Times New Roman" w:hint="eastAsia"/>
          <w:b/>
          <w:bCs/>
          <w:sz w:val="24"/>
          <w:szCs w:val="32"/>
        </w:rPr>
        <w:t>海浦投资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7</w:t>
      </w:r>
      <w:r>
        <w:rPr>
          <w:rFonts w:ascii="Times New Roman" w:eastAsia="仿宋" w:hAnsi="Times New Roman" w:hint="eastAsia"/>
          <w:sz w:val="24"/>
          <w:szCs w:val="32"/>
        </w:rPr>
        <w:t>只产品的</w:t>
      </w:r>
      <w:r>
        <w:rPr>
          <w:rFonts w:ascii="Times New Roman" w:eastAsia="仿宋" w:hAnsi="Times New Roman" w:hint="eastAsia"/>
          <w:sz w:val="24"/>
          <w:szCs w:val="32"/>
        </w:rPr>
        <w:t>2021</w:t>
      </w:r>
      <w:r>
        <w:rPr>
          <w:rFonts w:ascii="Times New Roman" w:eastAsia="仿宋" w:hAnsi="Times New Roman" w:hint="eastAsia"/>
          <w:sz w:val="24"/>
          <w:szCs w:val="32"/>
        </w:rPr>
        <w:t>年度平均收益率为</w:t>
      </w:r>
      <w:r>
        <w:rPr>
          <w:rFonts w:ascii="Times New Roman" w:eastAsia="仿宋" w:hAnsi="Times New Roman" w:hint="eastAsia"/>
          <w:sz w:val="24"/>
          <w:szCs w:val="32"/>
        </w:rPr>
        <w:t>29.60%</w:t>
      </w:r>
      <w:r>
        <w:rPr>
          <w:rFonts w:ascii="Times New Roman" w:eastAsia="仿宋" w:hAnsi="Times New Roman" w:hint="eastAsia"/>
          <w:sz w:val="24"/>
          <w:szCs w:val="32"/>
        </w:rPr>
        <w:t>，与</w:t>
      </w:r>
      <w:r>
        <w:rPr>
          <w:rFonts w:ascii="Times New Roman" w:eastAsia="仿宋" w:hAnsi="Times New Roman" w:hint="eastAsia"/>
          <w:sz w:val="24"/>
          <w:szCs w:val="32"/>
        </w:rPr>
        <w:t>11</w:t>
      </w:r>
      <w:r>
        <w:rPr>
          <w:rFonts w:ascii="Times New Roman" w:eastAsia="仿宋" w:hAnsi="Times New Roman" w:hint="eastAsia"/>
          <w:sz w:val="24"/>
          <w:szCs w:val="32"/>
        </w:rPr>
        <w:t>月度表现相比，平均下降</w:t>
      </w:r>
      <w:r>
        <w:rPr>
          <w:rFonts w:ascii="Times New Roman" w:eastAsia="仿宋" w:hAnsi="Times New Roman" w:hint="eastAsia"/>
          <w:sz w:val="24"/>
          <w:szCs w:val="32"/>
        </w:rPr>
        <w:t>5.19%</w:t>
      </w:r>
      <w:r>
        <w:rPr>
          <w:rFonts w:ascii="Times New Roman" w:eastAsia="仿宋" w:hAnsi="Times New Roman" w:hint="eastAsia"/>
          <w:sz w:val="24"/>
          <w:szCs w:val="32"/>
        </w:rPr>
        <w:t>。而观察发现，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如图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6-8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，</w:t>
      </w:r>
      <w:proofErr w:type="gramStart"/>
      <w:r>
        <w:rPr>
          <w:rFonts w:ascii="Times New Roman" w:eastAsia="仿宋" w:hAnsi="Times New Roman" w:hint="eastAsia"/>
          <w:b/>
          <w:bCs/>
          <w:sz w:val="24"/>
          <w:szCs w:val="32"/>
        </w:rPr>
        <w:t>海浦投资</w:t>
      </w:r>
      <w:proofErr w:type="gramEnd"/>
      <w:r>
        <w:rPr>
          <w:rFonts w:ascii="Times New Roman" w:eastAsia="仿宋" w:hAnsi="Times New Roman" w:hint="eastAsia"/>
          <w:b/>
          <w:bCs/>
          <w:sz w:val="24"/>
          <w:szCs w:val="32"/>
        </w:rPr>
        <w:t>在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12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月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24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日几乎均经历了本年度的最大回撤</w:t>
      </w:r>
      <w:r>
        <w:rPr>
          <w:rFonts w:ascii="Times New Roman" w:eastAsia="仿宋" w:hAnsi="Times New Roman" w:hint="eastAsia"/>
          <w:sz w:val="24"/>
          <w:szCs w:val="32"/>
        </w:rPr>
        <w:t>。</w:t>
      </w:r>
    </w:p>
    <w:p w:rsidR="00B3218C" w:rsidRDefault="00314DF5">
      <w:pPr>
        <w:rPr>
          <w:rFonts w:ascii="Times New Roman" w:eastAsia="仿宋" w:hAnsi="Times New Roman"/>
        </w:rPr>
      </w:pPr>
      <w:r>
        <w:rPr>
          <w:rFonts w:ascii="Times New Roman" w:eastAsia="仿宋" w:hAnsi="Times New Roman"/>
          <w:noProof/>
        </w:rPr>
        <w:drawing>
          <wp:inline distT="0" distB="0" distL="114300" distR="114300">
            <wp:extent cx="5269230" cy="988695"/>
            <wp:effectExtent l="0" t="0" r="3810" b="190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218C" w:rsidRDefault="00B3218C">
      <w:pPr>
        <w:rPr>
          <w:rFonts w:ascii="Times New Roman" w:eastAsia="仿宋" w:hAnsi="Times New Roman"/>
        </w:rPr>
      </w:pPr>
    </w:p>
    <w:p w:rsidR="00B3218C" w:rsidRDefault="00314DF5">
      <w:pPr>
        <w:ind w:firstLineChars="200" w:firstLine="422"/>
        <w:jc w:val="center"/>
        <w:rPr>
          <w:rFonts w:ascii="Times New Roman" w:eastAsia="仿宋" w:hAnsi="Times New Roman"/>
          <w:b/>
          <w:bCs/>
        </w:rPr>
      </w:pPr>
      <w:r>
        <w:rPr>
          <w:rFonts w:ascii="Times New Roman" w:eastAsia="仿宋" w:hAnsi="Times New Roman" w:hint="eastAsia"/>
          <w:b/>
          <w:bCs/>
        </w:rPr>
        <w:t>图</w:t>
      </w:r>
      <w:r>
        <w:rPr>
          <w:rFonts w:ascii="Times New Roman" w:eastAsia="仿宋" w:hAnsi="Times New Roman" w:hint="eastAsia"/>
          <w:b/>
          <w:bCs/>
        </w:rPr>
        <w:t>6</w:t>
      </w:r>
      <w:r>
        <w:rPr>
          <w:rFonts w:ascii="Times New Roman" w:eastAsia="仿宋" w:hAnsi="Times New Roman" w:hint="eastAsia"/>
          <w:b/>
          <w:bCs/>
        </w:rPr>
        <w:t>：</w:t>
      </w:r>
      <w:proofErr w:type="gramStart"/>
      <w:r>
        <w:rPr>
          <w:rFonts w:ascii="Times New Roman" w:eastAsia="仿宋" w:hAnsi="Times New Roman" w:hint="eastAsia"/>
          <w:b/>
          <w:bCs/>
        </w:rPr>
        <w:t>海浦超平面</w:t>
      </w:r>
      <w:proofErr w:type="gramEnd"/>
      <w:r>
        <w:rPr>
          <w:rFonts w:ascii="Times New Roman" w:eastAsia="仿宋" w:hAnsi="Times New Roman" w:hint="eastAsia"/>
          <w:b/>
          <w:bCs/>
        </w:rPr>
        <w:t>中证</w:t>
      </w:r>
      <w:r>
        <w:rPr>
          <w:rFonts w:ascii="Times New Roman" w:eastAsia="仿宋" w:hAnsi="Times New Roman" w:hint="eastAsia"/>
          <w:b/>
          <w:bCs/>
        </w:rPr>
        <w:t>500</w:t>
      </w:r>
      <w:r>
        <w:rPr>
          <w:rFonts w:ascii="Times New Roman" w:eastAsia="仿宋" w:hAnsi="Times New Roman" w:hint="eastAsia"/>
          <w:b/>
          <w:bCs/>
        </w:rPr>
        <w:t>指数增强</w:t>
      </w:r>
      <w:r>
        <w:rPr>
          <w:rFonts w:ascii="Times New Roman" w:eastAsia="仿宋" w:hAnsi="Times New Roman" w:hint="eastAsia"/>
          <w:b/>
          <w:bCs/>
        </w:rPr>
        <w:t>1</w:t>
      </w:r>
      <w:r>
        <w:rPr>
          <w:rFonts w:ascii="Times New Roman" w:eastAsia="仿宋" w:hAnsi="Times New Roman" w:hint="eastAsia"/>
          <w:b/>
          <w:bCs/>
        </w:rPr>
        <w:t>号</w:t>
      </w:r>
      <w:r>
        <w:rPr>
          <w:rFonts w:ascii="Times New Roman" w:eastAsia="仿宋" w:hAnsi="Times New Roman" w:hint="eastAsia"/>
          <w:b/>
          <w:bCs/>
        </w:rPr>
        <w:t>2021</w:t>
      </w:r>
      <w:r>
        <w:rPr>
          <w:rFonts w:ascii="Times New Roman" w:eastAsia="仿宋" w:hAnsi="Times New Roman" w:hint="eastAsia"/>
          <w:b/>
          <w:bCs/>
        </w:rPr>
        <w:t>年度回撤</w:t>
      </w:r>
    </w:p>
    <w:p w:rsidR="00B3218C" w:rsidRDefault="00314DF5">
      <w:pPr>
        <w:rPr>
          <w:rFonts w:ascii="Times New Roman" w:eastAsia="仿宋" w:hAnsi="Times New Roman"/>
        </w:rPr>
      </w:pPr>
      <w:r>
        <w:rPr>
          <w:rFonts w:ascii="Times New Roman" w:eastAsia="仿宋" w:hAnsi="Times New Roman"/>
          <w:noProof/>
        </w:rPr>
        <w:drawing>
          <wp:inline distT="0" distB="0" distL="114300" distR="114300">
            <wp:extent cx="5266690" cy="2724785"/>
            <wp:effectExtent l="0" t="0" r="6350" b="317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8C" w:rsidRDefault="00314DF5">
      <w:pPr>
        <w:ind w:firstLineChars="200" w:firstLine="422"/>
        <w:jc w:val="center"/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  <w:b/>
          <w:bCs/>
        </w:rPr>
        <w:t>图</w:t>
      </w:r>
      <w:r>
        <w:rPr>
          <w:rFonts w:ascii="Times New Roman" w:eastAsia="仿宋" w:hAnsi="Times New Roman" w:hint="eastAsia"/>
          <w:b/>
          <w:bCs/>
        </w:rPr>
        <w:t>7</w:t>
      </w:r>
      <w:r>
        <w:rPr>
          <w:rFonts w:ascii="Times New Roman" w:eastAsia="仿宋" w:hAnsi="Times New Roman" w:hint="eastAsia"/>
          <w:b/>
          <w:bCs/>
        </w:rPr>
        <w:t>：</w:t>
      </w:r>
      <w:proofErr w:type="gramStart"/>
      <w:r>
        <w:rPr>
          <w:rFonts w:ascii="Times New Roman" w:eastAsia="仿宋" w:hAnsi="Times New Roman" w:hint="eastAsia"/>
          <w:b/>
          <w:bCs/>
        </w:rPr>
        <w:t>海浦中</w:t>
      </w:r>
      <w:proofErr w:type="gramEnd"/>
      <w:r>
        <w:rPr>
          <w:rFonts w:ascii="Times New Roman" w:eastAsia="仿宋" w:hAnsi="Times New Roman" w:hint="eastAsia"/>
          <w:b/>
          <w:bCs/>
        </w:rPr>
        <w:t>证</w:t>
      </w:r>
      <w:r>
        <w:rPr>
          <w:rFonts w:ascii="Times New Roman" w:eastAsia="仿宋" w:hAnsi="Times New Roman" w:hint="eastAsia"/>
          <w:b/>
          <w:bCs/>
        </w:rPr>
        <w:t>500</w:t>
      </w:r>
      <w:r>
        <w:rPr>
          <w:rFonts w:ascii="Times New Roman" w:eastAsia="仿宋" w:hAnsi="Times New Roman" w:hint="eastAsia"/>
          <w:b/>
          <w:bCs/>
        </w:rPr>
        <w:t>指数增强</w:t>
      </w:r>
      <w:r>
        <w:rPr>
          <w:rFonts w:ascii="Times New Roman" w:eastAsia="仿宋" w:hAnsi="Times New Roman" w:hint="eastAsia"/>
          <w:b/>
          <w:bCs/>
        </w:rPr>
        <w:t>6</w:t>
      </w:r>
      <w:r>
        <w:rPr>
          <w:rFonts w:ascii="Times New Roman" w:eastAsia="仿宋" w:hAnsi="Times New Roman" w:hint="eastAsia"/>
          <w:b/>
          <w:bCs/>
        </w:rPr>
        <w:t>号</w:t>
      </w:r>
      <w:r>
        <w:rPr>
          <w:rFonts w:ascii="Times New Roman" w:eastAsia="仿宋" w:hAnsi="Times New Roman" w:hint="eastAsia"/>
          <w:b/>
          <w:bCs/>
        </w:rPr>
        <w:t>2021</w:t>
      </w:r>
      <w:r>
        <w:rPr>
          <w:rFonts w:ascii="Times New Roman" w:eastAsia="仿宋" w:hAnsi="Times New Roman" w:hint="eastAsia"/>
          <w:b/>
          <w:bCs/>
        </w:rPr>
        <w:t>年度回撤</w:t>
      </w:r>
    </w:p>
    <w:p w:rsidR="00B3218C" w:rsidRDefault="00314DF5">
      <w:pPr>
        <w:rPr>
          <w:rFonts w:ascii="Times New Roman" w:eastAsia="仿宋" w:hAnsi="Times New Roman"/>
          <w:b/>
          <w:bCs/>
        </w:rPr>
      </w:pPr>
      <w:r>
        <w:rPr>
          <w:rFonts w:ascii="Times New Roman" w:eastAsia="仿宋" w:hAnsi="Times New Roman"/>
          <w:noProof/>
        </w:rPr>
        <w:lastRenderedPageBreak/>
        <w:drawing>
          <wp:inline distT="0" distB="0" distL="114300" distR="114300">
            <wp:extent cx="5266690" cy="2788920"/>
            <wp:effectExtent l="0" t="0" r="6350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8C" w:rsidRDefault="00314DF5">
      <w:pPr>
        <w:spacing w:line="360" w:lineRule="auto"/>
        <w:ind w:firstLineChars="200" w:firstLine="482"/>
        <w:jc w:val="center"/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 w:hint="eastAsia"/>
          <w:b/>
          <w:bCs/>
          <w:sz w:val="24"/>
          <w:szCs w:val="32"/>
        </w:rPr>
        <w:t>图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8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：</w:t>
      </w:r>
      <w:proofErr w:type="gramStart"/>
      <w:r>
        <w:rPr>
          <w:rFonts w:ascii="Times New Roman" w:eastAsia="仿宋" w:hAnsi="Times New Roman" w:hint="eastAsia"/>
          <w:b/>
          <w:bCs/>
          <w:sz w:val="24"/>
          <w:szCs w:val="32"/>
        </w:rPr>
        <w:t>海浦中</w:t>
      </w:r>
      <w:proofErr w:type="gramEnd"/>
      <w:r>
        <w:rPr>
          <w:rFonts w:ascii="Times New Roman" w:eastAsia="仿宋" w:hAnsi="Times New Roman" w:hint="eastAsia"/>
          <w:b/>
          <w:bCs/>
          <w:sz w:val="24"/>
          <w:szCs w:val="32"/>
        </w:rPr>
        <w:t>证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500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指数增强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2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号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2021</w:t>
      </w:r>
      <w:r>
        <w:rPr>
          <w:rFonts w:ascii="Times New Roman" w:eastAsia="仿宋" w:hAnsi="Times New Roman" w:hint="eastAsia"/>
          <w:b/>
          <w:bCs/>
          <w:sz w:val="24"/>
          <w:szCs w:val="32"/>
        </w:rPr>
        <w:t>年度回撤</w:t>
      </w:r>
    </w:p>
    <w:p w:rsidR="00B3218C" w:rsidRDefault="00314DF5">
      <w:pPr>
        <w:spacing w:line="360" w:lineRule="auto"/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/>
          <w:noProof/>
          <w:sz w:val="24"/>
          <w:szCs w:val="32"/>
        </w:rPr>
        <w:drawing>
          <wp:inline distT="0" distB="0" distL="114300" distR="114300">
            <wp:extent cx="5268595" cy="2683510"/>
            <wp:effectExtent l="0" t="0" r="4445" b="1397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8C" w:rsidRDefault="00B3218C">
      <w:pPr>
        <w:spacing w:line="360" w:lineRule="auto"/>
        <w:rPr>
          <w:rFonts w:ascii="Times New Roman" w:eastAsia="仿宋" w:hAnsi="Times New Roman"/>
          <w:sz w:val="24"/>
          <w:szCs w:val="32"/>
        </w:rPr>
      </w:pPr>
    </w:p>
    <w:p w:rsidR="00B3218C" w:rsidRDefault="00314DF5">
      <w:pPr>
        <w:spacing w:line="360" w:lineRule="auto"/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 w:hint="eastAsia"/>
          <w:b/>
          <w:bCs/>
          <w:sz w:val="24"/>
          <w:szCs w:val="32"/>
        </w:rPr>
        <w:t>②龙</w:t>
      </w:r>
      <w:proofErr w:type="gramStart"/>
      <w:r>
        <w:rPr>
          <w:rFonts w:ascii="Times New Roman" w:eastAsia="仿宋" w:hAnsi="Times New Roman" w:hint="eastAsia"/>
          <w:b/>
          <w:bCs/>
          <w:sz w:val="24"/>
          <w:szCs w:val="32"/>
        </w:rPr>
        <w:t>旗科技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也经历了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类似海浦投资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的回撤情况，但</w:t>
      </w:r>
      <w:r>
        <w:rPr>
          <w:rFonts w:ascii="Times New Roman" w:eastAsia="仿宋" w:hAnsi="Times New Roman" w:hint="eastAsia"/>
          <w:sz w:val="24"/>
          <w:szCs w:val="32"/>
        </w:rPr>
        <w:t>6</w:t>
      </w:r>
      <w:r>
        <w:rPr>
          <w:rFonts w:ascii="Times New Roman" w:eastAsia="仿宋" w:hAnsi="Times New Roman" w:hint="eastAsia"/>
          <w:sz w:val="24"/>
          <w:szCs w:val="32"/>
        </w:rPr>
        <w:t>只产品整体幅度较小（</w:t>
      </w:r>
      <w:r>
        <w:rPr>
          <w:rFonts w:ascii="Times New Roman" w:eastAsia="仿宋" w:hAnsi="Times New Roman" w:hint="eastAsia"/>
          <w:sz w:val="24"/>
          <w:szCs w:val="32"/>
        </w:rPr>
        <w:t>-3.24%</w:t>
      </w:r>
      <w:r>
        <w:rPr>
          <w:rFonts w:ascii="Times New Roman" w:eastAsia="仿宋" w:hAnsi="Times New Roman" w:hint="eastAsia"/>
          <w:sz w:val="24"/>
          <w:szCs w:val="32"/>
        </w:rPr>
        <w:t>）。但不同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于海浦投资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，龙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旗科技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一直保持着高收益高回撤的激进策略：</w:t>
      </w:r>
      <w:r>
        <w:rPr>
          <w:rFonts w:ascii="Times New Roman" w:eastAsia="仿宋" w:hAnsi="Times New Roman" w:hint="eastAsia"/>
          <w:sz w:val="24"/>
          <w:szCs w:val="32"/>
        </w:rPr>
        <w:t>6</w:t>
      </w:r>
      <w:r>
        <w:rPr>
          <w:rFonts w:ascii="Times New Roman" w:eastAsia="仿宋" w:hAnsi="Times New Roman" w:hint="eastAsia"/>
          <w:sz w:val="24"/>
          <w:szCs w:val="32"/>
        </w:rPr>
        <w:t>只产品</w:t>
      </w:r>
      <w:r>
        <w:rPr>
          <w:rFonts w:ascii="Times New Roman" w:eastAsia="仿宋" w:hAnsi="Times New Roman" w:hint="eastAsia"/>
          <w:sz w:val="24"/>
          <w:szCs w:val="32"/>
        </w:rPr>
        <w:t>2021</w:t>
      </w:r>
      <w:r>
        <w:rPr>
          <w:rFonts w:ascii="Times New Roman" w:eastAsia="仿宋" w:hAnsi="Times New Roman" w:hint="eastAsia"/>
          <w:sz w:val="24"/>
          <w:szCs w:val="32"/>
        </w:rPr>
        <w:t>年度平均收益率</w:t>
      </w:r>
      <w:r>
        <w:rPr>
          <w:rFonts w:ascii="Times New Roman" w:eastAsia="仿宋" w:hAnsi="Times New Roman" w:hint="eastAsia"/>
          <w:sz w:val="24"/>
          <w:szCs w:val="32"/>
        </w:rPr>
        <w:t>52.98%</w:t>
      </w:r>
      <w:r>
        <w:rPr>
          <w:rFonts w:ascii="Times New Roman" w:eastAsia="仿宋" w:hAnsi="Times New Roman" w:hint="eastAsia"/>
          <w:sz w:val="24"/>
          <w:szCs w:val="32"/>
        </w:rPr>
        <w:t>，平均最大回撤也达到了了</w:t>
      </w:r>
      <w:r>
        <w:rPr>
          <w:rFonts w:ascii="Times New Roman" w:eastAsia="仿宋" w:hAnsi="Times New Roman" w:hint="eastAsia"/>
          <w:sz w:val="24"/>
          <w:szCs w:val="32"/>
        </w:rPr>
        <w:t>22.43%</w:t>
      </w:r>
      <w:r>
        <w:rPr>
          <w:rFonts w:ascii="Times New Roman" w:eastAsia="仿宋" w:hAnsi="Times New Roman" w:hint="eastAsia"/>
          <w:sz w:val="24"/>
          <w:szCs w:val="32"/>
        </w:rPr>
        <w:t>，无论收益还是回撤在</w:t>
      </w:r>
      <w:r>
        <w:rPr>
          <w:rFonts w:ascii="Times New Roman" w:eastAsia="仿宋" w:hAnsi="Times New Roman" w:hint="eastAsia"/>
          <w:sz w:val="24"/>
          <w:szCs w:val="32"/>
        </w:rPr>
        <w:t>20-50</w:t>
      </w:r>
      <w:r>
        <w:rPr>
          <w:rFonts w:ascii="Times New Roman" w:eastAsia="仿宋" w:hAnsi="Times New Roman" w:hint="eastAsia"/>
          <w:sz w:val="24"/>
          <w:szCs w:val="32"/>
        </w:rPr>
        <w:t>亿规模私募中均为首位。其中，成立年限最长（平均</w:t>
      </w:r>
      <w:r>
        <w:rPr>
          <w:rFonts w:ascii="Times New Roman" w:eastAsia="仿宋" w:hAnsi="Times New Roman" w:hint="eastAsia"/>
          <w:sz w:val="24"/>
          <w:szCs w:val="32"/>
        </w:rPr>
        <w:t>5</w:t>
      </w:r>
      <w:r>
        <w:rPr>
          <w:rFonts w:ascii="Times New Roman" w:eastAsia="仿宋" w:hAnsi="Times New Roman" w:hint="eastAsia"/>
          <w:sz w:val="24"/>
          <w:szCs w:val="32"/>
        </w:rPr>
        <w:t>年）的三只产品</w:t>
      </w:r>
      <w:r>
        <w:rPr>
          <w:rFonts w:ascii="Times New Roman" w:eastAsia="仿宋" w:hAnsi="Times New Roman" w:hint="eastAsia"/>
          <w:sz w:val="24"/>
          <w:szCs w:val="32"/>
        </w:rPr>
        <w:t>2021</w:t>
      </w:r>
      <w:r>
        <w:rPr>
          <w:rFonts w:ascii="Times New Roman" w:eastAsia="仿宋" w:hAnsi="Times New Roman" w:hint="eastAsia"/>
          <w:sz w:val="24"/>
          <w:szCs w:val="32"/>
        </w:rPr>
        <w:t>年度平均收益率为</w:t>
      </w:r>
      <w:r>
        <w:rPr>
          <w:rFonts w:ascii="Times New Roman" w:eastAsia="仿宋" w:hAnsi="Times New Roman" w:hint="eastAsia"/>
          <w:sz w:val="24"/>
          <w:szCs w:val="32"/>
        </w:rPr>
        <w:t>49.42%</w:t>
      </w:r>
      <w:r>
        <w:rPr>
          <w:rFonts w:ascii="Times New Roman" w:eastAsia="仿宋" w:hAnsi="Times New Roman" w:hint="eastAsia"/>
          <w:sz w:val="24"/>
          <w:szCs w:val="32"/>
        </w:rPr>
        <w:t>，而最大回撤则为</w:t>
      </w:r>
      <w:r>
        <w:rPr>
          <w:rFonts w:ascii="Times New Roman" w:eastAsia="仿宋" w:hAnsi="Times New Roman" w:hint="eastAsia"/>
          <w:sz w:val="24"/>
          <w:szCs w:val="32"/>
        </w:rPr>
        <w:t>33.71%</w:t>
      </w:r>
      <w:r>
        <w:rPr>
          <w:rFonts w:ascii="Times New Roman" w:eastAsia="仿宋" w:hAnsi="Times New Roman" w:hint="eastAsia"/>
          <w:sz w:val="24"/>
          <w:szCs w:val="32"/>
        </w:rPr>
        <w:t>，期间一直保持着高收益高回撤的策略。而另外</w:t>
      </w:r>
      <w:r>
        <w:rPr>
          <w:rFonts w:ascii="Times New Roman" w:eastAsia="仿宋" w:hAnsi="Times New Roman" w:hint="eastAsia"/>
          <w:sz w:val="24"/>
          <w:szCs w:val="32"/>
        </w:rPr>
        <w:t>3</w:t>
      </w:r>
      <w:r>
        <w:rPr>
          <w:rFonts w:ascii="Times New Roman" w:eastAsia="仿宋" w:hAnsi="Times New Roman" w:hint="eastAsia"/>
          <w:sz w:val="24"/>
          <w:szCs w:val="32"/>
        </w:rPr>
        <w:t>只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平均成立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年限为</w:t>
      </w:r>
      <w:r>
        <w:rPr>
          <w:rFonts w:ascii="Times New Roman" w:eastAsia="仿宋" w:hAnsi="Times New Roman" w:hint="eastAsia"/>
          <w:sz w:val="24"/>
          <w:szCs w:val="32"/>
        </w:rPr>
        <w:t>1.7</w:t>
      </w:r>
      <w:r>
        <w:rPr>
          <w:rFonts w:ascii="Times New Roman" w:eastAsia="仿宋" w:hAnsi="Times New Roman" w:hint="eastAsia"/>
          <w:sz w:val="24"/>
          <w:szCs w:val="32"/>
        </w:rPr>
        <w:t>年，回撤保持在平均</w:t>
      </w:r>
      <w:r>
        <w:rPr>
          <w:rFonts w:ascii="Times New Roman" w:eastAsia="仿宋" w:hAnsi="Times New Roman" w:hint="eastAsia"/>
          <w:sz w:val="24"/>
          <w:szCs w:val="32"/>
        </w:rPr>
        <w:t>11.16%</w:t>
      </w:r>
      <w:r>
        <w:rPr>
          <w:rFonts w:ascii="Times New Roman" w:eastAsia="仿宋" w:hAnsi="Times New Roman" w:hint="eastAsia"/>
          <w:sz w:val="24"/>
          <w:szCs w:val="32"/>
        </w:rPr>
        <w:t>，可以龙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旗科技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在量化多头产品上，保持着双主线发展的策略，新成立产品在回撤和收益的控制上要优于早期产品，但整体依旧保持着强劲势头。</w:t>
      </w:r>
    </w:p>
    <w:p w:rsidR="00B3218C" w:rsidRDefault="00B3218C">
      <w:pPr>
        <w:spacing w:line="360" w:lineRule="auto"/>
        <w:rPr>
          <w:rFonts w:ascii="Times New Roman" w:eastAsia="仿宋" w:hAnsi="Times New Roman"/>
          <w:sz w:val="24"/>
          <w:szCs w:val="32"/>
        </w:rPr>
      </w:pPr>
    </w:p>
    <w:p w:rsidR="00B3218C" w:rsidRDefault="00314DF5">
      <w:pPr>
        <w:spacing w:line="360" w:lineRule="auto"/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/>
          <w:noProof/>
          <w:sz w:val="24"/>
          <w:szCs w:val="32"/>
        </w:rPr>
        <w:drawing>
          <wp:inline distT="0" distB="0" distL="114300" distR="114300">
            <wp:extent cx="5269230" cy="891540"/>
            <wp:effectExtent l="0" t="0" r="3810" b="762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8C" w:rsidRDefault="00B3218C">
      <w:pPr>
        <w:spacing w:line="360" w:lineRule="auto"/>
        <w:rPr>
          <w:rFonts w:ascii="Times New Roman" w:eastAsia="仿宋" w:hAnsi="Times New Roman"/>
          <w:sz w:val="24"/>
          <w:szCs w:val="32"/>
        </w:rPr>
      </w:pPr>
    </w:p>
    <w:p w:rsidR="00B3218C" w:rsidRDefault="00314DF5">
      <w:pPr>
        <w:spacing w:line="360" w:lineRule="auto"/>
        <w:rPr>
          <w:rFonts w:ascii="Times New Roman" w:eastAsia="仿宋" w:hAnsi="Times New Roman"/>
          <w:sz w:val="24"/>
          <w:szCs w:val="32"/>
        </w:rPr>
      </w:pPr>
      <w:r>
        <w:rPr>
          <w:rFonts w:ascii="Times New Roman" w:eastAsia="仿宋" w:hAnsi="Times New Roman" w:hint="eastAsia"/>
          <w:b/>
          <w:bCs/>
          <w:sz w:val="24"/>
          <w:szCs w:val="32"/>
        </w:rPr>
        <w:t>③念</w:t>
      </w:r>
      <w:proofErr w:type="gramStart"/>
      <w:r>
        <w:rPr>
          <w:rFonts w:ascii="Times New Roman" w:eastAsia="仿宋" w:hAnsi="Times New Roman" w:hint="eastAsia"/>
          <w:b/>
          <w:bCs/>
          <w:sz w:val="24"/>
          <w:szCs w:val="32"/>
        </w:rPr>
        <w:t>空数据</w:t>
      </w:r>
      <w:proofErr w:type="gramEnd"/>
      <w:r>
        <w:rPr>
          <w:rFonts w:ascii="Times New Roman" w:eastAsia="仿宋" w:hAnsi="Times New Roman" w:hint="eastAsia"/>
          <w:b/>
          <w:bCs/>
          <w:sz w:val="24"/>
          <w:szCs w:val="32"/>
        </w:rPr>
        <w:t>科技</w:t>
      </w:r>
      <w:r>
        <w:rPr>
          <w:rFonts w:ascii="Times New Roman" w:eastAsia="仿宋" w:hAnsi="Times New Roman" w:hint="eastAsia"/>
          <w:sz w:val="24"/>
          <w:szCs w:val="32"/>
        </w:rPr>
        <w:t>在</w:t>
      </w:r>
      <w:r>
        <w:rPr>
          <w:rFonts w:ascii="Times New Roman" w:eastAsia="仿宋" w:hAnsi="Times New Roman" w:hint="eastAsia"/>
          <w:sz w:val="24"/>
          <w:szCs w:val="32"/>
        </w:rPr>
        <w:t>12</w:t>
      </w:r>
      <w:r>
        <w:rPr>
          <w:rFonts w:ascii="Times New Roman" w:eastAsia="仿宋" w:hAnsi="Times New Roman" w:hint="eastAsia"/>
          <w:sz w:val="24"/>
          <w:szCs w:val="32"/>
        </w:rPr>
        <w:t>月度的表现则较为持平，较新的</w:t>
      </w:r>
      <w:r>
        <w:rPr>
          <w:rFonts w:ascii="Times New Roman" w:eastAsia="仿宋" w:hAnsi="Times New Roman" w:hint="eastAsia"/>
          <w:sz w:val="24"/>
          <w:szCs w:val="32"/>
        </w:rPr>
        <w:t>3</w:t>
      </w:r>
      <w:r>
        <w:rPr>
          <w:rFonts w:ascii="Times New Roman" w:eastAsia="仿宋" w:hAnsi="Times New Roman" w:hint="eastAsia"/>
          <w:sz w:val="24"/>
          <w:szCs w:val="32"/>
        </w:rPr>
        <w:t>只产品（</w:t>
      </w:r>
      <w:proofErr w:type="gramStart"/>
      <w:r>
        <w:rPr>
          <w:rFonts w:ascii="Times New Roman" w:eastAsia="仿宋" w:hAnsi="Times New Roman" w:hint="eastAsia"/>
          <w:sz w:val="24"/>
          <w:szCs w:val="32"/>
        </w:rPr>
        <w:t>平均成立</w:t>
      </w:r>
      <w:proofErr w:type="gramEnd"/>
      <w:r>
        <w:rPr>
          <w:rFonts w:ascii="Times New Roman" w:eastAsia="仿宋" w:hAnsi="Times New Roman" w:hint="eastAsia"/>
          <w:sz w:val="24"/>
          <w:szCs w:val="32"/>
        </w:rPr>
        <w:t>年限</w:t>
      </w:r>
      <w:r>
        <w:rPr>
          <w:rFonts w:ascii="Times New Roman" w:eastAsia="仿宋" w:hAnsi="Times New Roman" w:hint="eastAsia"/>
          <w:sz w:val="24"/>
          <w:szCs w:val="32"/>
        </w:rPr>
        <w:t>2.1</w:t>
      </w:r>
      <w:r>
        <w:rPr>
          <w:rFonts w:ascii="Times New Roman" w:eastAsia="仿宋" w:hAnsi="Times New Roman" w:hint="eastAsia"/>
          <w:sz w:val="24"/>
          <w:szCs w:val="32"/>
        </w:rPr>
        <w:t>年）</w:t>
      </w:r>
      <w:r>
        <w:rPr>
          <w:rFonts w:ascii="Times New Roman" w:eastAsia="仿宋" w:hAnsi="Times New Roman" w:hint="eastAsia"/>
          <w:sz w:val="24"/>
          <w:szCs w:val="32"/>
        </w:rPr>
        <w:t>12</w:t>
      </w:r>
      <w:r>
        <w:rPr>
          <w:rFonts w:ascii="Times New Roman" w:eastAsia="仿宋" w:hAnsi="Times New Roman" w:hint="eastAsia"/>
          <w:sz w:val="24"/>
          <w:szCs w:val="32"/>
        </w:rPr>
        <w:t>月度平均上涨</w:t>
      </w:r>
      <w:r>
        <w:rPr>
          <w:rFonts w:ascii="Times New Roman" w:eastAsia="仿宋" w:hAnsi="Times New Roman" w:hint="eastAsia"/>
          <w:sz w:val="24"/>
          <w:szCs w:val="32"/>
        </w:rPr>
        <w:t>0.01%</w:t>
      </w:r>
      <w:r>
        <w:rPr>
          <w:rFonts w:ascii="Times New Roman" w:eastAsia="仿宋" w:hAnsi="Times New Roman" w:hint="eastAsia"/>
          <w:sz w:val="24"/>
          <w:szCs w:val="32"/>
        </w:rPr>
        <w:t>，但收益保持在量化多头全策略产品的前</w:t>
      </w:r>
      <w:r>
        <w:rPr>
          <w:rFonts w:ascii="Times New Roman" w:eastAsia="仿宋" w:hAnsi="Times New Roman" w:hint="eastAsia"/>
          <w:sz w:val="24"/>
          <w:szCs w:val="32"/>
        </w:rPr>
        <w:t>15</w:t>
      </w:r>
      <w:r>
        <w:rPr>
          <w:rFonts w:ascii="Times New Roman" w:eastAsia="仿宋" w:hAnsi="Times New Roman" w:hint="eastAsia"/>
          <w:sz w:val="24"/>
          <w:szCs w:val="32"/>
        </w:rPr>
        <w:t>，为平均</w:t>
      </w:r>
      <w:r>
        <w:rPr>
          <w:rFonts w:ascii="Times New Roman" w:eastAsia="仿宋" w:hAnsi="Times New Roman" w:hint="eastAsia"/>
          <w:sz w:val="24"/>
          <w:szCs w:val="32"/>
        </w:rPr>
        <w:t>54.57%</w:t>
      </w:r>
      <w:r>
        <w:rPr>
          <w:rFonts w:ascii="Times New Roman" w:eastAsia="仿宋" w:hAnsi="Times New Roman" w:hint="eastAsia"/>
          <w:sz w:val="24"/>
          <w:szCs w:val="32"/>
        </w:rPr>
        <w:t>。而成立年限较久（</w:t>
      </w:r>
      <w:r>
        <w:rPr>
          <w:rFonts w:ascii="Times New Roman" w:eastAsia="仿宋" w:hAnsi="Times New Roman" w:hint="eastAsia"/>
          <w:sz w:val="24"/>
          <w:szCs w:val="32"/>
        </w:rPr>
        <w:t>3.7</w:t>
      </w:r>
      <w:r>
        <w:rPr>
          <w:rFonts w:ascii="Times New Roman" w:eastAsia="仿宋" w:hAnsi="Times New Roman" w:hint="eastAsia"/>
          <w:sz w:val="24"/>
          <w:szCs w:val="32"/>
        </w:rPr>
        <w:t>年）的两只代表产品，</w:t>
      </w:r>
      <w:r>
        <w:rPr>
          <w:rFonts w:ascii="Times New Roman" w:eastAsia="仿宋" w:hAnsi="Times New Roman" w:hint="eastAsia"/>
          <w:sz w:val="24"/>
          <w:szCs w:val="32"/>
        </w:rPr>
        <w:t>12</w:t>
      </w:r>
      <w:r>
        <w:rPr>
          <w:rFonts w:ascii="Times New Roman" w:eastAsia="仿宋" w:hAnsi="Times New Roman" w:hint="eastAsia"/>
          <w:sz w:val="24"/>
          <w:szCs w:val="32"/>
        </w:rPr>
        <w:t>月度也经历了较大幅度回撤，分别为</w:t>
      </w:r>
      <w:r>
        <w:rPr>
          <w:rFonts w:ascii="Times New Roman" w:eastAsia="仿宋" w:hAnsi="Times New Roman" w:hint="eastAsia"/>
          <w:sz w:val="24"/>
          <w:szCs w:val="32"/>
        </w:rPr>
        <w:t>4.14%</w:t>
      </w:r>
      <w:r>
        <w:rPr>
          <w:rFonts w:ascii="Times New Roman" w:eastAsia="仿宋" w:hAnsi="Times New Roman" w:hint="eastAsia"/>
          <w:sz w:val="24"/>
          <w:szCs w:val="32"/>
        </w:rPr>
        <w:t>和</w:t>
      </w:r>
      <w:r>
        <w:rPr>
          <w:rFonts w:ascii="Times New Roman" w:eastAsia="仿宋" w:hAnsi="Times New Roman" w:hint="eastAsia"/>
          <w:sz w:val="24"/>
          <w:szCs w:val="32"/>
        </w:rPr>
        <w:t>5.73%</w:t>
      </w:r>
      <w:r>
        <w:rPr>
          <w:rFonts w:ascii="Times New Roman" w:eastAsia="仿宋" w:hAnsi="Times New Roman" w:hint="eastAsia"/>
          <w:sz w:val="24"/>
          <w:szCs w:val="32"/>
        </w:rPr>
        <w:t>，其中念空量化选股无极</w:t>
      </w:r>
      <w:r>
        <w:rPr>
          <w:rFonts w:ascii="Times New Roman" w:eastAsia="仿宋" w:hAnsi="Times New Roman" w:hint="eastAsia"/>
          <w:sz w:val="24"/>
          <w:szCs w:val="32"/>
        </w:rPr>
        <w:t>4</w:t>
      </w:r>
      <w:r>
        <w:rPr>
          <w:rFonts w:ascii="Times New Roman" w:eastAsia="仿宋" w:hAnsi="Times New Roman" w:hint="eastAsia"/>
          <w:sz w:val="24"/>
          <w:szCs w:val="32"/>
        </w:rPr>
        <w:t>号也在</w:t>
      </w:r>
      <w:r>
        <w:rPr>
          <w:rFonts w:ascii="Times New Roman" w:eastAsia="仿宋" w:hAnsi="Times New Roman" w:hint="eastAsia"/>
          <w:sz w:val="24"/>
          <w:szCs w:val="32"/>
        </w:rPr>
        <w:t>12</w:t>
      </w:r>
      <w:r>
        <w:rPr>
          <w:rFonts w:ascii="Times New Roman" w:eastAsia="仿宋" w:hAnsi="Times New Roman" w:hint="eastAsia"/>
          <w:sz w:val="24"/>
          <w:szCs w:val="32"/>
        </w:rPr>
        <w:t>月</w:t>
      </w:r>
      <w:r>
        <w:rPr>
          <w:rFonts w:ascii="Times New Roman" w:eastAsia="仿宋" w:hAnsi="Times New Roman" w:hint="eastAsia"/>
          <w:sz w:val="24"/>
          <w:szCs w:val="32"/>
        </w:rPr>
        <w:t>24</w:t>
      </w:r>
      <w:r>
        <w:rPr>
          <w:rFonts w:ascii="Times New Roman" w:eastAsia="仿宋" w:hAnsi="Times New Roman" w:hint="eastAsia"/>
          <w:sz w:val="24"/>
          <w:szCs w:val="32"/>
        </w:rPr>
        <w:t>日经历了下半年度的最大回撤，为</w:t>
      </w:r>
      <w:r>
        <w:rPr>
          <w:rFonts w:ascii="Times New Roman" w:eastAsia="仿宋" w:hAnsi="Times New Roman" w:hint="eastAsia"/>
          <w:sz w:val="24"/>
          <w:szCs w:val="32"/>
        </w:rPr>
        <w:t>-7.44%</w:t>
      </w:r>
      <w:r>
        <w:rPr>
          <w:rFonts w:ascii="Times New Roman" w:eastAsia="仿宋" w:hAnsi="Times New Roman" w:hint="eastAsia"/>
          <w:sz w:val="24"/>
          <w:szCs w:val="32"/>
        </w:rPr>
        <w:t>。</w:t>
      </w:r>
    </w:p>
    <w:p w:rsidR="00B3218C" w:rsidRDefault="00314DF5">
      <w:pPr>
        <w:spacing w:line="360" w:lineRule="auto"/>
        <w:rPr>
          <w:rFonts w:ascii="Times New Roman" w:eastAsia="仿宋" w:hAnsi="Times New Roman"/>
          <w:sz w:val="36"/>
          <w:szCs w:val="44"/>
        </w:rPr>
      </w:pPr>
      <w:r>
        <w:rPr>
          <w:rFonts w:ascii="Times New Roman" w:eastAsia="仿宋" w:hAnsi="Times New Roman"/>
          <w:noProof/>
          <w:sz w:val="36"/>
          <w:szCs w:val="44"/>
        </w:rPr>
        <w:drawing>
          <wp:inline distT="0" distB="0" distL="114300" distR="114300">
            <wp:extent cx="5268595" cy="814070"/>
            <wp:effectExtent l="0" t="0" r="4445" b="889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8C" w:rsidRDefault="00B3218C">
      <w:pPr>
        <w:spacing w:line="360" w:lineRule="auto"/>
        <w:rPr>
          <w:rFonts w:ascii="Times New Roman" w:eastAsia="仿宋" w:hAnsi="Times New Roman"/>
          <w:sz w:val="28"/>
          <w:szCs w:val="36"/>
        </w:rPr>
      </w:pPr>
    </w:p>
    <w:p w:rsidR="00B3218C" w:rsidRDefault="00314DF5">
      <w:pPr>
        <w:spacing w:line="360" w:lineRule="auto"/>
        <w:ind w:firstLineChars="200" w:firstLine="562"/>
        <w:jc w:val="center"/>
        <w:rPr>
          <w:rFonts w:ascii="Times New Roman" w:eastAsia="仿宋" w:hAnsi="Times New Roman"/>
          <w:sz w:val="28"/>
          <w:szCs w:val="36"/>
        </w:rPr>
      </w:pPr>
      <w:r>
        <w:rPr>
          <w:rFonts w:ascii="Times New Roman" w:eastAsia="仿宋" w:hAnsi="Times New Roman" w:hint="eastAsia"/>
          <w:b/>
          <w:bCs/>
          <w:sz w:val="28"/>
          <w:szCs w:val="36"/>
        </w:rPr>
        <w:t>图</w:t>
      </w:r>
      <w:r>
        <w:rPr>
          <w:rFonts w:ascii="Times New Roman" w:eastAsia="仿宋" w:hAnsi="Times New Roman" w:hint="eastAsia"/>
          <w:b/>
          <w:bCs/>
          <w:sz w:val="28"/>
          <w:szCs w:val="36"/>
        </w:rPr>
        <w:t>9</w:t>
      </w:r>
      <w:r>
        <w:rPr>
          <w:rFonts w:ascii="Times New Roman" w:eastAsia="仿宋" w:hAnsi="Times New Roman" w:hint="eastAsia"/>
          <w:b/>
          <w:bCs/>
          <w:sz w:val="28"/>
          <w:szCs w:val="36"/>
        </w:rPr>
        <w:t>：念空量化选股无极</w:t>
      </w:r>
      <w:r>
        <w:rPr>
          <w:rFonts w:ascii="Times New Roman" w:eastAsia="仿宋" w:hAnsi="Times New Roman" w:hint="eastAsia"/>
          <w:b/>
          <w:bCs/>
          <w:sz w:val="28"/>
          <w:szCs w:val="36"/>
        </w:rPr>
        <w:t>4</w:t>
      </w:r>
      <w:r>
        <w:rPr>
          <w:rFonts w:ascii="Times New Roman" w:eastAsia="仿宋" w:hAnsi="Times New Roman" w:hint="eastAsia"/>
          <w:b/>
          <w:bCs/>
          <w:sz w:val="28"/>
          <w:szCs w:val="36"/>
        </w:rPr>
        <w:t>号</w:t>
      </w:r>
      <w:r>
        <w:rPr>
          <w:rFonts w:ascii="Times New Roman" w:eastAsia="仿宋" w:hAnsi="Times New Roman" w:hint="eastAsia"/>
          <w:b/>
          <w:bCs/>
          <w:sz w:val="28"/>
          <w:szCs w:val="36"/>
        </w:rPr>
        <w:t>2021</w:t>
      </w:r>
      <w:r>
        <w:rPr>
          <w:rFonts w:ascii="Times New Roman" w:eastAsia="仿宋" w:hAnsi="Times New Roman" w:hint="eastAsia"/>
          <w:b/>
          <w:bCs/>
          <w:sz w:val="28"/>
          <w:szCs w:val="36"/>
        </w:rPr>
        <w:t>年度回撤</w:t>
      </w:r>
    </w:p>
    <w:p w:rsidR="00B3218C" w:rsidRDefault="00314DF5">
      <w:pPr>
        <w:spacing w:line="360" w:lineRule="auto"/>
        <w:rPr>
          <w:rFonts w:ascii="Times New Roman" w:eastAsia="仿宋" w:hAnsi="Times New Roman"/>
          <w:sz w:val="28"/>
          <w:szCs w:val="36"/>
        </w:rPr>
      </w:pPr>
      <w:r>
        <w:rPr>
          <w:rFonts w:ascii="Times New Roman" w:eastAsia="仿宋" w:hAnsi="Times New Roman"/>
          <w:noProof/>
          <w:sz w:val="28"/>
          <w:szCs w:val="36"/>
        </w:rPr>
        <w:drawing>
          <wp:inline distT="0" distB="0" distL="114300" distR="114300">
            <wp:extent cx="5267325" cy="2710815"/>
            <wp:effectExtent l="0" t="0" r="5715" b="190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8C" w:rsidRDefault="00B3218C">
      <w:pPr>
        <w:spacing w:line="360" w:lineRule="auto"/>
        <w:rPr>
          <w:rFonts w:ascii="Times New Roman" w:eastAsia="仿宋" w:hAnsi="Times New Roman"/>
          <w:sz w:val="28"/>
          <w:szCs w:val="36"/>
        </w:rPr>
      </w:pPr>
    </w:p>
    <w:p w:rsidR="00B3218C" w:rsidRDefault="00B3218C">
      <w:pPr>
        <w:spacing w:line="360" w:lineRule="auto"/>
        <w:rPr>
          <w:rFonts w:ascii="Times New Roman" w:eastAsia="仿宋" w:hAnsi="Times New Roman"/>
          <w:b/>
          <w:bCs/>
          <w:sz w:val="28"/>
          <w:szCs w:val="36"/>
        </w:rPr>
      </w:pPr>
    </w:p>
    <w:p w:rsidR="00B3218C" w:rsidRPr="0069372E" w:rsidRDefault="00314DF5">
      <w:pPr>
        <w:spacing w:line="360" w:lineRule="auto"/>
        <w:rPr>
          <w:rFonts w:ascii="Times New Roman" w:eastAsia="仿宋" w:hAnsi="Times New Roman"/>
          <w:sz w:val="24"/>
        </w:rPr>
      </w:pPr>
      <w:r w:rsidRPr="0069372E">
        <w:rPr>
          <w:rFonts w:ascii="Times New Roman" w:eastAsia="仿宋" w:hAnsi="Times New Roman" w:hint="eastAsia"/>
          <w:b/>
          <w:bCs/>
          <w:sz w:val="24"/>
        </w:rPr>
        <w:t>④优美利投资</w:t>
      </w:r>
      <w:r w:rsidRPr="0069372E">
        <w:rPr>
          <w:rFonts w:ascii="Times New Roman" w:eastAsia="仿宋" w:hAnsi="Times New Roman" w:hint="eastAsia"/>
          <w:sz w:val="24"/>
        </w:rPr>
        <w:t>的</w:t>
      </w:r>
      <w:r w:rsidRPr="0069372E">
        <w:rPr>
          <w:rFonts w:ascii="Times New Roman" w:eastAsia="仿宋" w:hAnsi="Times New Roman" w:hint="eastAsia"/>
          <w:sz w:val="24"/>
        </w:rPr>
        <w:t>3</w:t>
      </w:r>
      <w:r w:rsidRPr="0069372E">
        <w:rPr>
          <w:rFonts w:ascii="Times New Roman" w:eastAsia="仿宋" w:hAnsi="Times New Roman" w:hint="eastAsia"/>
          <w:sz w:val="24"/>
        </w:rPr>
        <w:t>只量化多头产品尽管今年收益整体表现非常优异，但其</w:t>
      </w:r>
      <w:r w:rsidRPr="0069372E">
        <w:rPr>
          <w:rFonts w:ascii="Times New Roman" w:eastAsia="仿宋" w:hAnsi="Times New Roman" w:hint="eastAsia"/>
          <w:sz w:val="24"/>
        </w:rPr>
        <w:t>12</w:t>
      </w:r>
      <w:r w:rsidRPr="0069372E">
        <w:rPr>
          <w:rFonts w:ascii="Times New Roman" w:eastAsia="仿宋" w:hAnsi="Times New Roman" w:hint="eastAsia"/>
          <w:sz w:val="24"/>
        </w:rPr>
        <w:t>月</w:t>
      </w:r>
      <w:r w:rsidRPr="0069372E">
        <w:rPr>
          <w:rFonts w:ascii="Times New Roman" w:eastAsia="仿宋" w:hAnsi="Times New Roman" w:hint="eastAsia"/>
          <w:sz w:val="24"/>
        </w:rPr>
        <w:lastRenderedPageBreak/>
        <w:t>也同样经历了近两月内的大幅回撤，相比</w:t>
      </w:r>
      <w:r w:rsidRPr="0069372E">
        <w:rPr>
          <w:rFonts w:ascii="Times New Roman" w:eastAsia="仿宋" w:hAnsi="Times New Roman" w:hint="eastAsia"/>
          <w:sz w:val="24"/>
        </w:rPr>
        <w:t>11</w:t>
      </w:r>
      <w:r w:rsidRPr="0069372E">
        <w:rPr>
          <w:rFonts w:ascii="Times New Roman" w:eastAsia="仿宋" w:hAnsi="Times New Roman" w:hint="eastAsia"/>
          <w:sz w:val="24"/>
        </w:rPr>
        <w:t>月份，平均下降</w:t>
      </w:r>
      <w:r w:rsidRPr="0069372E">
        <w:rPr>
          <w:rFonts w:ascii="Times New Roman" w:eastAsia="仿宋" w:hAnsi="Times New Roman" w:hint="eastAsia"/>
          <w:sz w:val="24"/>
        </w:rPr>
        <w:t>-12.94%</w:t>
      </w:r>
      <w:r w:rsidRPr="0069372E">
        <w:rPr>
          <w:rFonts w:ascii="Times New Roman" w:eastAsia="仿宋" w:hAnsi="Times New Roman" w:hint="eastAsia"/>
          <w:sz w:val="24"/>
        </w:rPr>
        <w:t>。平均收益自</w:t>
      </w:r>
      <w:r w:rsidRPr="0069372E">
        <w:rPr>
          <w:rFonts w:ascii="Times New Roman" w:eastAsia="仿宋" w:hAnsi="Times New Roman" w:hint="eastAsia"/>
          <w:sz w:val="24"/>
        </w:rPr>
        <w:t>12</w:t>
      </w:r>
      <w:r w:rsidRPr="0069372E">
        <w:rPr>
          <w:rFonts w:ascii="Times New Roman" w:eastAsia="仿宋" w:hAnsi="Times New Roman" w:hint="eastAsia"/>
          <w:sz w:val="24"/>
        </w:rPr>
        <w:t>月</w:t>
      </w:r>
      <w:r w:rsidRPr="0069372E">
        <w:rPr>
          <w:rFonts w:ascii="Times New Roman" w:eastAsia="仿宋" w:hAnsi="Times New Roman" w:hint="eastAsia"/>
          <w:sz w:val="24"/>
        </w:rPr>
        <w:t>3</w:t>
      </w:r>
      <w:r w:rsidRPr="0069372E">
        <w:rPr>
          <w:rFonts w:ascii="Times New Roman" w:eastAsia="仿宋" w:hAnsi="Times New Roman" w:hint="eastAsia"/>
          <w:sz w:val="24"/>
        </w:rPr>
        <w:t>日的</w:t>
      </w:r>
      <w:r w:rsidRPr="0069372E">
        <w:rPr>
          <w:rFonts w:ascii="Times New Roman" w:eastAsia="仿宋" w:hAnsi="Times New Roman" w:hint="eastAsia"/>
          <w:sz w:val="24"/>
        </w:rPr>
        <w:t>93.29%</w:t>
      </w:r>
      <w:r w:rsidRPr="0069372E">
        <w:rPr>
          <w:rFonts w:ascii="Times New Roman" w:eastAsia="仿宋" w:hAnsi="Times New Roman" w:hint="eastAsia"/>
          <w:sz w:val="24"/>
        </w:rPr>
        <w:t>滑落至</w:t>
      </w:r>
      <w:r w:rsidRPr="0069372E">
        <w:rPr>
          <w:rFonts w:ascii="Times New Roman" w:eastAsia="仿宋" w:hAnsi="Times New Roman" w:hint="eastAsia"/>
          <w:sz w:val="24"/>
        </w:rPr>
        <w:t>80.35%</w:t>
      </w:r>
      <w:r w:rsidRPr="0069372E">
        <w:rPr>
          <w:rFonts w:ascii="Times New Roman" w:eastAsia="仿宋" w:hAnsi="Times New Roman" w:hint="eastAsia"/>
          <w:sz w:val="24"/>
        </w:rPr>
        <w:t>，且三只产品如下图所示，均在</w:t>
      </w:r>
      <w:r w:rsidRPr="0069372E">
        <w:rPr>
          <w:rFonts w:ascii="Times New Roman" w:eastAsia="仿宋" w:hAnsi="Times New Roman" w:hint="eastAsia"/>
          <w:sz w:val="24"/>
        </w:rPr>
        <w:t>12</w:t>
      </w:r>
      <w:r w:rsidRPr="0069372E">
        <w:rPr>
          <w:rFonts w:ascii="Times New Roman" w:eastAsia="仿宋" w:hAnsi="Times New Roman" w:hint="eastAsia"/>
          <w:sz w:val="24"/>
        </w:rPr>
        <w:t>月</w:t>
      </w:r>
      <w:r w:rsidRPr="0069372E">
        <w:rPr>
          <w:rFonts w:ascii="Times New Roman" w:eastAsia="仿宋" w:hAnsi="Times New Roman" w:hint="eastAsia"/>
          <w:sz w:val="24"/>
        </w:rPr>
        <w:t>24</w:t>
      </w:r>
      <w:r w:rsidRPr="0069372E">
        <w:rPr>
          <w:rFonts w:ascii="Times New Roman" w:eastAsia="仿宋" w:hAnsi="Times New Roman" w:hint="eastAsia"/>
          <w:sz w:val="24"/>
        </w:rPr>
        <w:t>日经历了大幅回撤。</w:t>
      </w:r>
    </w:p>
    <w:p w:rsidR="00B3218C" w:rsidRDefault="00314DF5">
      <w:pPr>
        <w:spacing w:line="360" w:lineRule="auto"/>
        <w:rPr>
          <w:rFonts w:ascii="Times New Roman" w:eastAsia="仿宋" w:hAnsi="Times New Roman"/>
          <w:sz w:val="28"/>
          <w:szCs w:val="36"/>
        </w:rPr>
      </w:pPr>
      <w:r>
        <w:rPr>
          <w:rFonts w:ascii="Times New Roman" w:eastAsia="仿宋" w:hAnsi="Times New Roman"/>
          <w:noProof/>
          <w:sz w:val="28"/>
          <w:szCs w:val="36"/>
        </w:rPr>
        <w:drawing>
          <wp:inline distT="0" distB="0" distL="114300" distR="114300">
            <wp:extent cx="5273675" cy="639445"/>
            <wp:effectExtent l="0" t="0" r="14605" b="63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8C" w:rsidRDefault="00B3218C">
      <w:pPr>
        <w:spacing w:line="360" w:lineRule="auto"/>
        <w:rPr>
          <w:rFonts w:ascii="Times New Roman" w:eastAsia="仿宋" w:hAnsi="Times New Roman"/>
          <w:sz w:val="28"/>
          <w:szCs w:val="36"/>
        </w:rPr>
      </w:pPr>
    </w:p>
    <w:p w:rsidR="00B3218C" w:rsidRDefault="00B3218C">
      <w:pPr>
        <w:spacing w:line="360" w:lineRule="auto"/>
        <w:rPr>
          <w:rFonts w:ascii="Times New Roman" w:eastAsia="仿宋" w:hAnsi="Times New Roman"/>
          <w:sz w:val="28"/>
          <w:szCs w:val="36"/>
        </w:rPr>
      </w:pPr>
    </w:p>
    <w:p w:rsidR="00B3218C" w:rsidRDefault="00B3218C">
      <w:pPr>
        <w:spacing w:line="360" w:lineRule="auto"/>
        <w:rPr>
          <w:rFonts w:ascii="Times New Roman" w:eastAsia="仿宋" w:hAnsi="Times New Roman"/>
          <w:sz w:val="28"/>
          <w:szCs w:val="36"/>
        </w:rPr>
      </w:pPr>
    </w:p>
    <w:p w:rsidR="00B3218C" w:rsidRDefault="00314DF5">
      <w:pPr>
        <w:spacing w:line="360" w:lineRule="auto"/>
        <w:ind w:firstLineChars="200" w:firstLine="422"/>
        <w:jc w:val="center"/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  <w:b/>
          <w:bCs/>
        </w:rPr>
        <w:t>图</w:t>
      </w:r>
      <w:r>
        <w:rPr>
          <w:rFonts w:ascii="Times New Roman" w:eastAsia="仿宋" w:hAnsi="Times New Roman" w:hint="eastAsia"/>
          <w:b/>
          <w:bCs/>
        </w:rPr>
        <w:t>10</w:t>
      </w:r>
      <w:r>
        <w:rPr>
          <w:rFonts w:ascii="Times New Roman" w:eastAsia="仿宋" w:hAnsi="Times New Roman" w:hint="eastAsia"/>
          <w:b/>
          <w:bCs/>
        </w:rPr>
        <w:t>：优美利观复</w:t>
      </w:r>
      <w:r>
        <w:rPr>
          <w:rFonts w:ascii="Times New Roman" w:eastAsia="仿宋" w:hAnsi="Times New Roman" w:hint="eastAsia"/>
          <w:b/>
          <w:bCs/>
        </w:rPr>
        <w:t>1</w:t>
      </w:r>
      <w:r>
        <w:rPr>
          <w:rFonts w:ascii="Times New Roman" w:eastAsia="仿宋" w:hAnsi="Times New Roman" w:hint="eastAsia"/>
          <w:b/>
          <w:bCs/>
        </w:rPr>
        <w:t>号私募证券投资基金</w:t>
      </w:r>
      <w:r>
        <w:rPr>
          <w:rFonts w:ascii="Times New Roman" w:eastAsia="仿宋" w:hAnsi="Times New Roman" w:hint="eastAsia"/>
          <w:b/>
          <w:bCs/>
        </w:rPr>
        <w:t>B 2021</w:t>
      </w:r>
      <w:r>
        <w:rPr>
          <w:rFonts w:ascii="Times New Roman" w:eastAsia="仿宋" w:hAnsi="Times New Roman" w:hint="eastAsia"/>
          <w:b/>
          <w:bCs/>
        </w:rPr>
        <w:t>年度回撤</w:t>
      </w:r>
    </w:p>
    <w:p w:rsidR="00B3218C" w:rsidRDefault="00314DF5">
      <w:pPr>
        <w:rPr>
          <w:rFonts w:ascii="Times New Roman" w:eastAsia="仿宋" w:hAnsi="Times New Roman"/>
        </w:rPr>
      </w:pPr>
      <w:r>
        <w:rPr>
          <w:rFonts w:ascii="Times New Roman" w:eastAsia="仿宋" w:hAnsi="Times New Roman"/>
          <w:noProof/>
        </w:rPr>
        <w:drawing>
          <wp:inline distT="0" distB="0" distL="114300" distR="114300">
            <wp:extent cx="5270500" cy="2684780"/>
            <wp:effectExtent l="0" t="0" r="2540" b="1270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rcRect t="2380" b="35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8C" w:rsidRDefault="00314DF5">
      <w:pPr>
        <w:ind w:firstLineChars="200" w:firstLine="422"/>
        <w:jc w:val="center"/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  <w:b/>
          <w:bCs/>
        </w:rPr>
        <w:t>图</w:t>
      </w:r>
      <w:r>
        <w:rPr>
          <w:rFonts w:ascii="Times New Roman" w:eastAsia="仿宋" w:hAnsi="Times New Roman" w:hint="eastAsia"/>
          <w:b/>
          <w:bCs/>
        </w:rPr>
        <w:t>11</w:t>
      </w:r>
      <w:r>
        <w:rPr>
          <w:rFonts w:ascii="Times New Roman" w:eastAsia="仿宋" w:hAnsi="Times New Roman" w:hint="eastAsia"/>
          <w:b/>
          <w:bCs/>
        </w:rPr>
        <w:t>：优美利观复</w:t>
      </w:r>
      <w:r>
        <w:rPr>
          <w:rFonts w:ascii="Times New Roman" w:eastAsia="仿宋" w:hAnsi="Times New Roman" w:hint="eastAsia"/>
          <w:b/>
          <w:bCs/>
        </w:rPr>
        <w:t>1</w:t>
      </w:r>
      <w:r>
        <w:rPr>
          <w:rFonts w:ascii="Times New Roman" w:eastAsia="仿宋" w:hAnsi="Times New Roman" w:hint="eastAsia"/>
          <w:b/>
          <w:bCs/>
        </w:rPr>
        <w:t>号</w:t>
      </w:r>
      <w:r>
        <w:rPr>
          <w:rFonts w:ascii="Times New Roman" w:eastAsia="仿宋" w:hAnsi="Times New Roman" w:hint="eastAsia"/>
          <w:b/>
          <w:bCs/>
        </w:rPr>
        <w:t>2021</w:t>
      </w:r>
      <w:r>
        <w:rPr>
          <w:rFonts w:ascii="Times New Roman" w:eastAsia="仿宋" w:hAnsi="Times New Roman" w:hint="eastAsia"/>
          <w:b/>
          <w:bCs/>
        </w:rPr>
        <w:t>年度回撤</w:t>
      </w:r>
    </w:p>
    <w:p w:rsidR="00B3218C" w:rsidRDefault="00314DF5">
      <w:pPr>
        <w:rPr>
          <w:rFonts w:ascii="Times New Roman" w:eastAsia="仿宋" w:hAnsi="Times New Roman"/>
        </w:rPr>
      </w:pPr>
      <w:r>
        <w:rPr>
          <w:rFonts w:ascii="Times New Roman" w:eastAsia="仿宋" w:hAnsi="Times New Roman"/>
          <w:noProof/>
        </w:rPr>
        <w:drawing>
          <wp:inline distT="0" distB="0" distL="114300" distR="114300">
            <wp:extent cx="5269865" cy="2524760"/>
            <wp:effectExtent l="0" t="0" r="3175" b="508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rcRect t="1599" b="350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8C" w:rsidRDefault="00314DF5">
      <w:pPr>
        <w:ind w:firstLineChars="200" w:firstLine="422"/>
        <w:jc w:val="center"/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  <w:b/>
          <w:bCs/>
        </w:rPr>
        <w:lastRenderedPageBreak/>
        <w:t>图</w:t>
      </w:r>
      <w:r>
        <w:rPr>
          <w:rFonts w:ascii="Times New Roman" w:eastAsia="仿宋" w:hAnsi="Times New Roman" w:hint="eastAsia"/>
          <w:b/>
          <w:bCs/>
        </w:rPr>
        <w:t>12</w:t>
      </w:r>
      <w:r>
        <w:rPr>
          <w:rFonts w:ascii="Times New Roman" w:eastAsia="仿宋" w:hAnsi="Times New Roman" w:hint="eastAsia"/>
          <w:b/>
          <w:bCs/>
        </w:rPr>
        <w:t>：优美利观复</w:t>
      </w:r>
      <w:r>
        <w:rPr>
          <w:rFonts w:ascii="Times New Roman" w:eastAsia="仿宋" w:hAnsi="Times New Roman" w:hint="eastAsia"/>
          <w:b/>
          <w:bCs/>
        </w:rPr>
        <w:t>1</w:t>
      </w:r>
      <w:r>
        <w:rPr>
          <w:rFonts w:ascii="Times New Roman" w:eastAsia="仿宋" w:hAnsi="Times New Roman" w:hint="eastAsia"/>
          <w:b/>
          <w:bCs/>
        </w:rPr>
        <w:t>号私募证券投资基金</w:t>
      </w:r>
      <w:r>
        <w:rPr>
          <w:rFonts w:ascii="Times New Roman" w:eastAsia="仿宋" w:hAnsi="Times New Roman" w:hint="eastAsia"/>
          <w:b/>
          <w:bCs/>
        </w:rPr>
        <w:t>A 2021</w:t>
      </w:r>
      <w:r>
        <w:rPr>
          <w:rFonts w:ascii="Times New Roman" w:eastAsia="仿宋" w:hAnsi="Times New Roman" w:hint="eastAsia"/>
          <w:b/>
          <w:bCs/>
        </w:rPr>
        <w:t>年度回撤</w:t>
      </w:r>
    </w:p>
    <w:p w:rsidR="00B3218C" w:rsidRDefault="00314DF5">
      <w:pPr>
        <w:rPr>
          <w:rFonts w:ascii="Times New Roman" w:eastAsia="仿宋" w:hAnsi="Times New Roman"/>
        </w:rPr>
      </w:pPr>
      <w:r>
        <w:rPr>
          <w:rFonts w:ascii="Times New Roman" w:eastAsia="仿宋" w:hAnsi="Times New Roman"/>
          <w:noProof/>
        </w:rPr>
        <w:drawing>
          <wp:inline distT="0" distB="0" distL="114300" distR="114300">
            <wp:extent cx="5267325" cy="2625725"/>
            <wp:effectExtent l="0" t="0" r="5715" b="10795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rcRect t="2777" b="15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82" w:rsidRPr="0052390F" w:rsidRDefault="005F5A82" w:rsidP="0052390F">
      <w:pPr>
        <w:widowControl/>
        <w:jc w:val="left"/>
        <w:rPr>
          <w:rFonts w:ascii="Times New Roman" w:eastAsia="仿宋" w:hAnsi="Times New Roman" w:hint="eastAsia"/>
        </w:rPr>
      </w:pPr>
    </w:p>
    <w:sectPr w:rsidR="005F5A82" w:rsidRPr="005239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18C"/>
    <w:rsid w:val="000731EB"/>
    <w:rsid w:val="002F717B"/>
    <w:rsid w:val="00314DF5"/>
    <w:rsid w:val="00387342"/>
    <w:rsid w:val="00422B69"/>
    <w:rsid w:val="00425C22"/>
    <w:rsid w:val="00484F27"/>
    <w:rsid w:val="0052390F"/>
    <w:rsid w:val="005E5CF8"/>
    <w:rsid w:val="005F5A82"/>
    <w:rsid w:val="00662873"/>
    <w:rsid w:val="0069372E"/>
    <w:rsid w:val="00B3218C"/>
    <w:rsid w:val="00C466F4"/>
    <w:rsid w:val="00C87895"/>
    <w:rsid w:val="00DC7640"/>
    <w:rsid w:val="00DF7788"/>
    <w:rsid w:val="00E74358"/>
    <w:rsid w:val="01141165"/>
    <w:rsid w:val="01244E3E"/>
    <w:rsid w:val="01EB45BC"/>
    <w:rsid w:val="02AD4887"/>
    <w:rsid w:val="02BA35BA"/>
    <w:rsid w:val="02BB5606"/>
    <w:rsid w:val="03100D46"/>
    <w:rsid w:val="034A3564"/>
    <w:rsid w:val="03A323C4"/>
    <w:rsid w:val="03FD08A8"/>
    <w:rsid w:val="041B4E07"/>
    <w:rsid w:val="044B7594"/>
    <w:rsid w:val="04B648BA"/>
    <w:rsid w:val="04E7176F"/>
    <w:rsid w:val="0504275F"/>
    <w:rsid w:val="050A324B"/>
    <w:rsid w:val="0589009F"/>
    <w:rsid w:val="05990487"/>
    <w:rsid w:val="05AC22B4"/>
    <w:rsid w:val="05BB4BC3"/>
    <w:rsid w:val="060F2843"/>
    <w:rsid w:val="06383B48"/>
    <w:rsid w:val="069D39AB"/>
    <w:rsid w:val="06B351CA"/>
    <w:rsid w:val="06D87A25"/>
    <w:rsid w:val="06E35E16"/>
    <w:rsid w:val="0737494B"/>
    <w:rsid w:val="08185BA9"/>
    <w:rsid w:val="083572E7"/>
    <w:rsid w:val="0977661C"/>
    <w:rsid w:val="09B41187"/>
    <w:rsid w:val="09FA64D1"/>
    <w:rsid w:val="09FF6A91"/>
    <w:rsid w:val="0A197F04"/>
    <w:rsid w:val="0A252832"/>
    <w:rsid w:val="0A2A4572"/>
    <w:rsid w:val="0A2D5046"/>
    <w:rsid w:val="0A3E3A92"/>
    <w:rsid w:val="0A717628"/>
    <w:rsid w:val="0AAE1824"/>
    <w:rsid w:val="0AB55187"/>
    <w:rsid w:val="0ABE5C37"/>
    <w:rsid w:val="0AD667E9"/>
    <w:rsid w:val="0B182C20"/>
    <w:rsid w:val="0B1B102D"/>
    <w:rsid w:val="0B1D330C"/>
    <w:rsid w:val="0B293AF2"/>
    <w:rsid w:val="0B2D69FB"/>
    <w:rsid w:val="0BBD3A01"/>
    <w:rsid w:val="0BC11EE9"/>
    <w:rsid w:val="0BFA53FB"/>
    <w:rsid w:val="0CB44ACD"/>
    <w:rsid w:val="0D50069F"/>
    <w:rsid w:val="0D5C448C"/>
    <w:rsid w:val="0D6B7DCE"/>
    <w:rsid w:val="0D6D2703"/>
    <w:rsid w:val="0D7A59B5"/>
    <w:rsid w:val="0DAC547B"/>
    <w:rsid w:val="0DF96FD0"/>
    <w:rsid w:val="0E092BB0"/>
    <w:rsid w:val="0E1C5AFD"/>
    <w:rsid w:val="0E4F1A2E"/>
    <w:rsid w:val="0E9B12EA"/>
    <w:rsid w:val="0EBB217E"/>
    <w:rsid w:val="10700AF4"/>
    <w:rsid w:val="10967DE9"/>
    <w:rsid w:val="10B4026F"/>
    <w:rsid w:val="10D125B8"/>
    <w:rsid w:val="10D3637A"/>
    <w:rsid w:val="10F30015"/>
    <w:rsid w:val="11012ADB"/>
    <w:rsid w:val="112453F4"/>
    <w:rsid w:val="115806FA"/>
    <w:rsid w:val="11AD1ABA"/>
    <w:rsid w:val="11FD5C45"/>
    <w:rsid w:val="122E39B8"/>
    <w:rsid w:val="128017F6"/>
    <w:rsid w:val="12FE3A23"/>
    <w:rsid w:val="1387315B"/>
    <w:rsid w:val="13942C68"/>
    <w:rsid w:val="13DF1AA7"/>
    <w:rsid w:val="14E539FC"/>
    <w:rsid w:val="15963E4E"/>
    <w:rsid w:val="15A524B3"/>
    <w:rsid w:val="163C7723"/>
    <w:rsid w:val="167F0C56"/>
    <w:rsid w:val="1738133D"/>
    <w:rsid w:val="176A1687"/>
    <w:rsid w:val="177C13BA"/>
    <w:rsid w:val="178F77F8"/>
    <w:rsid w:val="17AD31D8"/>
    <w:rsid w:val="18394A9B"/>
    <w:rsid w:val="183C2289"/>
    <w:rsid w:val="18DD19B3"/>
    <w:rsid w:val="190C6F25"/>
    <w:rsid w:val="193A0341"/>
    <w:rsid w:val="19481E9C"/>
    <w:rsid w:val="197902A7"/>
    <w:rsid w:val="19B608B3"/>
    <w:rsid w:val="1A6E2A8C"/>
    <w:rsid w:val="1AA9696A"/>
    <w:rsid w:val="1AE206E2"/>
    <w:rsid w:val="1B834A0B"/>
    <w:rsid w:val="1B973E57"/>
    <w:rsid w:val="1B9C64CF"/>
    <w:rsid w:val="1BAB04C0"/>
    <w:rsid w:val="1BB32D97"/>
    <w:rsid w:val="1BDB3B61"/>
    <w:rsid w:val="1C113C73"/>
    <w:rsid w:val="1CFF4A55"/>
    <w:rsid w:val="1D24052A"/>
    <w:rsid w:val="1D623C6A"/>
    <w:rsid w:val="1DE957BD"/>
    <w:rsid w:val="1E555D57"/>
    <w:rsid w:val="1E5866DD"/>
    <w:rsid w:val="1E701F5C"/>
    <w:rsid w:val="1E8373D6"/>
    <w:rsid w:val="1F0B1394"/>
    <w:rsid w:val="1F8654CC"/>
    <w:rsid w:val="1FF37E21"/>
    <w:rsid w:val="1FF64400"/>
    <w:rsid w:val="20273CF6"/>
    <w:rsid w:val="208D3101"/>
    <w:rsid w:val="215C41A6"/>
    <w:rsid w:val="21AB121A"/>
    <w:rsid w:val="21B43E17"/>
    <w:rsid w:val="21F96C38"/>
    <w:rsid w:val="21FF4C16"/>
    <w:rsid w:val="224D11D6"/>
    <w:rsid w:val="226D4721"/>
    <w:rsid w:val="228D6B72"/>
    <w:rsid w:val="22C7363B"/>
    <w:rsid w:val="22F34D74"/>
    <w:rsid w:val="22F44052"/>
    <w:rsid w:val="22F77B2C"/>
    <w:rsid w:val="230102A9"/>
    <w:rsid w:val="23FF529E"/>
    <w:rsid w:val="24311A99"/>
    <w:rsid w:val="249C39EC"/>
    <w:rsid w:val="24BC3AC2"/>
    <w:rsid w:val="25290DD3"/>
    <w:rsid w:val="252C3350"/>
    <w:rsid w:val="255552F4"/>
    <w:rsid w:val="255816B9"/>
    <w:rsid w:val="25745BE5"/>
    <w:rsid w:val="257C53A7"/>
    <w:rsid w:val="264D6D44"/>
    <w:rsid w:val="26D92385"/>
    <w:rsid w:val="26DE08FD"/>
    <w:rsid w:val="26E2748C"/>
    <w:rsid w:val="27306D72"/>
    <w:rsid w:val="2734580E"/>
    <w:rsid w:val="27EE1E60"/>
    <w:rsid w:val="28111124"/>
    <w:rsid w:val="28212236"/>
    <w:rsid w:val="2821517C"/>
    <w:rsid w:val="284D1B3F"/>
    <w:rsid w:val="290D6316"/>
    <w:rsid w:val="29205CDD"/>
    <w:rsid w:val="292D1901"/>
    <w:rsid w:val="294C47E2"/>
    <w:rsid w:val="29611A2A"/>
    <w:rsid w:val="296806B6"/>
    <w:rsid w:val="297A26A8"/>
    <w:rsid w:val="299B1B74"/>
    <w:rsid w:val="29C63095"/>
    <w:rsid w:val="2A381933"/>
    <w:rsid w:val="2ACA03C4"/>
    <w:rsid w:val="2ACD467B"/>
    <w:rsid w:val="2B0F442A"/>
    <w:rsid w:val="2B1E480B"/>
    <w:rsid w:val="2B2D65E8"/>
    <w:rsid w:val="2B4E2C0C"/>
    <w:rsid w:val="2B8B2AFD"/>
    <w:rsid w:val="2C7D1A05"/>
    <w:rsid w:val="2CA60F5C"/>
    <w:rsid w:val="2CDD392A"/>
    <w:rsid w:val="2D2A37CC"/>
    <w:rsid w:val="2D8356B4"/>
    <w:rsid w:val="2DA74D52"/>
    <w:rsid w:val="2DC20777"/>
    <w:rsid w:val="2E6D7DC8"/>
    <w:rsid w:val="2E7E7558"/>
    <w:rsid w:val="2EA0710A"/>
    <w:rsid w:val="2EAE6E61"/>
    <w:rsid w:val="2EC2522B"/>
    <w:rsid w:val="2EF33C3F"/>
    <w:rsid w:val="2F3015F5"/>
    <w:rsid w:val="2F3C6F86"/>
    <w:rsid w:val="2F65401A"/>
    <w:rsid w:val="2FAE71E3"/>
    <w:rsid w:val="307D6477"/>
    <w:rsid w:val="309335C1"/>
    <w:rsid w:val="31A87135"/>
    <w:rsid w:val="31B92B8B"/>
    <w:rsid w:val="31BE6C8E"/>
    <w:rsid w:val="31D71BB7"/>
    <w:rsid w:val="31FB3AF8"/>
    <w:rsid w:val="322A0F5F"/>
    <w:rsid w:val="32D9768F"/>
    <w:rsid w:val="330423B1"/>
    <w:rsid w:val="3320303C"/>
    <w:rsid w:val="334721DD"/>
    <w:rsid w:val="33930D9E"/>
    <w:rsid w:val="340B1178"/>
    <w:rsid w:val="343F660C"/>
    <w:rsid w:val="34BE03BF"/>
    <w:rsid w:val="34E72E14"/>
    <w:rsid w:val="35D8618B"/>
    <w:rsid w:val="35EA50EA"/>
    <w:rsid w:val="36203B2D"/>
    <w:rsid w:val="36374E98"/>
    <w:rsid w:val="36AA32BB"/>
    <w:rsid w:val="36B61F5B"/>
    <w:rsid w:val="36D40DB0"/>
    <w:rsid w:val="36E04176"/>
    <w:rsid w:val="36E921AB"/>
    <w:rsid w:val="36F226AD"/>
    <w:rsid w:val="37133692"/>
    <w:rsid w:val="371468F4"/>
    <w:rsid w:val="372F04E9"/>
    <w:rsid w:val="37725225"/>
    <w:rsid w:val="377D041D"/>
    <w:rsid w:val="38334291"/>
    <w:rsid w:val="383A69FC"/>
    <w:rsid w:val="38EA0422"/>
    <w:rsid w:val="390F6C4C"/>
    <w:rsid w:val="3971469F"/>
    <w:rsid w:val="39B27192"/>
    <w:rsid w:val="39CE683F"/>
    <w:rsid w:val="3A4433B2"/>
    <w:rsid w:val="3A9B7C26"/>
    <w:rsid w:val="3ADB6274"/>
    <w:rsid w:val="3BC43768"/>
    <w:rsid w:val="3BE32897"/>
    <w:rsid w:val="3BE70B3B"/>
    <w:rsid w:val="3BFE6E09"/>
    <w:rsid w:val="3C6773B9"/>
    <w:rsid w:val="3C96112F"/>
    <w:rsid w:val="3CB52AF5"/>
    <w:rsid w:val="3CBB2F59"/>
    <w:rsid w:val="3D1E68EC"/>
    <w:rsid w:val="3D464256"/>
    <w:rsid w:val="3D6407A3"/>
    <w:rsid w:val="3DF73E96"/>
    <w:rsid w:val="3E157CEF"/>
    <w:rsid w:val="3E693B97"/>
    <w:rsid w:val="3E8B2BA8"/>
    <w:rsid w:val="3EE42FE0"/>
    <w:rsid w:val="3EEF1AAA"/>
    <w:rsid w:val="3F5C02F6"/>
    <w:rsid w:val="3F9B2A1D"/>
    <w:rsid w:val="3FB53538"/>
    <w:rsid w:val="3FF4635B"/>
    <w:rsid w:val="4018605D"/>
    <w:rsid w:val="403A3A3D"/>
    <w:rsid w:val="404A147C"/>
    <w:rsid w:val="40A35A86"/>
    <w:rsid w:val="40D0614F"/>
    <w:rsid w:val="40D43E92"/>
    <w:rsid w:val="417967E7"/>
    <w:rsid w:val="421B135F"/>
    <w:rsid w:val="424402BA"/>
    <w:rsid w:val="427C033D"/>
    <w:rsid w:val="42A17DA3"/>
    <w:rsid w:val="42B55273"/>
    <w:rsid w:val="430805D0"/>
    <w:rsid w:val="436332AB"/>
    <w:rsid w:val="43C53F65"/>
    <w:rsid w:val="43CA332A"/>
    <w:rsid w:val="43DA4C79"/>
    <w:rsid w:val="43F70BA8"/>
    <w:rsid w:val="43FD53EB"/>
    <w:rsid w:val="440E6370"/>
    <w:rsid w:val="44454CB5"/>
    <w:rsid w:val="44832D3F"/>
    <w:rsid w:val="44983767"/>
    <w:rsid w:val="45DE4E6B"/>
    <w:rsid w:val="45EA1A61"/>
    <w:rsid w:val="463E363B"/>
    <w:rsid w:val="464949DA"/>
    <w:rsid w:val="4662784A"/>
    <w:rsid w:val="46850D65"/>
    <w:rsid w:val="46F54B62"/>
    <w:rsid w:val="470C2205"/>
    <w:rsid w:val="47347C1D"/>
    <w:rsid w:val="474E6020"/>
    <w:rsid w:val="47D31122"/>
    <w:rsid w:val="47D50476"/>
    <w:rsid w:val="48811F1E"/>
    <w:rsid w:val="48A95EA2"/>
    <w:rsid w:val="48E82B89"/>
    <w:rsid w:val="490C103D"/>
    <w:rsid w:val="490E1F0B"/>
    <w:rsid w:val="4935140F"/>
    <w:rsid w:val="49A34BDC"/>
    <w:rsid w:val="49B45953"/>
    <w:rsid w:val="4A3A67A3"/>
    <w:rsid w:val="4A560CE1"/>
    <w:rsid w:val="4B38326F"/>
    <w:rsid w:val="4B6D570B"/>
    <w:rsid w:val="4C955B45"/>
    <w:rsid w:val="4CE0596C"/>
    <w:rsid w:val="4CEE0CE9"/>
    <w:rsid w:val="4D3D02F5"/>
    <w:rsid w:val="4D645E3C"/>
    <w:rsid w:val="4E1F0E4A"/>
    <w:rsid w:val="4E1F107E"/>
    <w:rsid w:val="4E5C595C"/>
    <w:rsid w:val="4EAC6CE8"/>
    <w:rsid w:val="4EFC6556"/>
    <w:rsid w:val="4F3C39AA"/>
    <w:rsid w:val="4F9A0268"/>
    <w:rsid w:val="4FB23B9F"/>
    <w:rsid w:val="50821724"/>
    <w:rsid w:val="5126261E"/>
    <w:rsid w:val="514429C2"/>
    <w:rsid w:val="51571BE7"/>
    <w:rsid w:val="51E47CAD"/>
    <w:rsid w:val="5269532D"/>
    <w:rsid w:val="527E6618"/>
    <w:rsid w:val="52F45CCD"/>
    <w:rsid w:val="532101AF"/>
    <w:rsid w:val="53890DF8"/>
    <w:rsid w:val="53B417E5"/>
    <w:rsid w:val="53D91EA3"/>
    <w:rsid w:val="53E67D0C"/>
    <w:rsid w:val="54B0031A"/>
    <w:rsid w:val="551A4038"/>
    <w:rsid w:val="56004989"/>
    <w:rsid w:val="56CC61A6"/>
    <w:rsid w:val="576919E8"/>
    <w:rsid w:val="581D7B19"/>
    <w:rsid w:val="5824556F"/>
    <w:rsid w:val="58886D8A"/>
    <w:rsid w:val="58A72704"/>
    <w:rsid w:val="58C62464"/>
    <w:rsid w:val="590D08BB"/>
    <w:rsid w:val="594C23E9"/>
    <w:rsid w:val="59D1663F"/>
    <w:rsid w:val="59DD730A"/>
    <w:rsid w:val="59EA7E2A"/>
    <w:rsid w:val="59F130A5"/>
    <w:rsid w:val="5A104998"/>
    <w:rsid w:val="5A1D1FAE"/>
    <w:rsid w:val="5A4810A8"/>
    <w:rsid w:val="5A6552BD"/>
    <w:rsid w:val="5AD412B0"/>
    <w:rsid w:val="5AEF4ADF"/>
    <w:rsid w:val="5B54677A"/>
    <w:rsid w:val="5B6C060C"/>
    <w:rsid w:val="5BAE0759"/>
    <w:rsid w:val="5C245875"/>
    <w:rsid w:val="5C4E7358"/>
    <w:rsid w:val="5C9C070B"/>
    <w:rsid w:val="5CC97269"/>
    <w:rsid w:val="5CD63DAE"/>
    <w:rsid w:val="5D0C4BC1"/>
    <w:rsid w:val="5D570C60"/>
    <w:rsid w:val="5D5C636F"/>
    <w:rsid w:val="5D9C58DF"/>
    <w:rsid w:val="5DA54794"/>
    <w:rsid w:val="5DA73D83"/>
    <w:rsid w:val="5E992C2B"/>
    <w:rsid w:val="5EC338B0"/>
    <w:rsid w:val="5ECE7796"/>
    <w:rsid w:val="5F5C51B3"/>
    <w:rsid w:val="5F9516A8"/>
    <w:rsid w:val="5FC827B4"/>
    <w:rsid w:val="5FE50EAF"/>
    <w:rsid w:val="60292BAB"/>
    <w:rsid w:val="605204D7"/>
    <w:rsid w:val="605D3104"/>
    <w:rsid w:val="6098238E"/>
    <w:rsid w:val="6098280F"/>
    <w:rsid w:val="61077514"/>
    <w:rsid w:val="613B7819"/>
    <w:rsid w:val="61447094"/>
    <w:rsid w:val="61490800"/>
    <w:rsid w:val="6198016C"/>
    <w:rsid w:val="61A12AA9"/>
    <w:rsid w:val="61CA224E"/>
    <w:rsid w:val="62257C51"/>
    <w:rsid w:val="62E573E1"/>
    <w:rsid w:val="631F5EE8"/>
    <w:rsid w:val="63731040"/>
    <w:rsid w:val="63A133AF"/>
    <w:rsid w:val="63DB6033"/>
    <w:rsid w:val="63E16410"/>
    <w:rsid w:val="642A59F3"/>
    <w:rsid w:val="64300D8E"/>
    <w:rsid w:val="64481FE3"/>
    <w:rsid w:val="64547535"/>
    <w:rsid w:val="64942E6C"/>
    <w:rsid w:val="64A46A42"/>
    <w:rsid w:val="64D439CB"/>
    <w:rsid w:val="65045E61"/>
    <w:rsid w:val="65493C57"/>
    <w:rsid w:val="65644F35"/>
    <w:rsid w:val="65BD1F06"/>
    <w:rsid w:val="65E21236"/>
    <w:rsid w:val="660110EB"/>
    <w:rsid w:val="660E4EA0"/>
    <w:rsid w:val="66182E36"/>
    <w:rsid w:val="666B35E7"/>
    <w:rsid w:val="66DB5595"/>
    <w:rsid w:val="67176931"/>
    <w:rsid w:val="67786057"/>
    <w:rsid w:val="677D333A"/>
    <w:rsid w:val="678A4701"/>
    <w:rsid w:val="6819272C"/>
    <w:rsid w:val="68AB63A5"/>
    <w:rsid w:val="69862B61"/>
    <w:rsid w:val="699B4676"/>
    <w:rsid w:val="6A4531AA"/>
    <w:rsid w:val="6A4E61B3"/>
    <w:rsid w:val="6A9C7228"/>
    <w:rsid w:val="6B5C07C8"/>
    <w:rsid w:val="6B651C69"/>
    <w:rsid w:val="6B7B580C"/>
    <w:rsid w:val="6B994A5D"/>
    <w:rsid w:val="6BBD0EFB"/>
    <w:rsid w:val="6C0B610A"/>
    <w:rsid w:val="6C542FB3"/>
    <w:rsid w:val="6C653CD7"/>
    <w:rsid w:val="6C7A0F7D"/>
    <w:rsid w:val="6CB346D4"/>
    <w:rsid w:val="6D580573"/>
    <w:rsid w:val="6DD23A86"/>
    <w:rsid w:val="6DDA1BDC"/>
    <w:rsid w:val="6DF534BC"/>
    <w:rsid w:val="6DFD4599"/>
    <w:rsid w:val="6E251EBD"/>
    <w:rsid w:val="6E361438"/>
    <w:rsid w:val="6E671C67"/>
    <w:rsid w:val="6EDD6355"/>
    <w:rsid w:val="6EED538D"/>
    <w:rsid w:val="6F4162E7"/>
    <w:rsid w:val="6FA6799E"/>
    <w:rsid w:val="6FCC3E02"/>
    <w:rsid w:val="70076BE8"/>
    <w:rsid w:val="70165DEE"/>
    <w:rsid w:val="7048307A"/>
    <w:rsid w:val="706930C5"/>
    <w:rsid w:val="707324D0"/>
    <w:rsid w:val="70923618"/>
    <w:rsid w:val="709578E2"/>
    <w:rsid w:val="70965A08"/>
    <w:rsid w:val="70C76378"/>
    <w:rsid w:val="70D867D7"/>
    <w:rsid w:val="70DC1471"/>
    <w:rsid w:val="70DC62C7"/>
    <w:rsid w:val="70F15083"/>
    <w:rsid w:val="71136FA4"/>
    <w:rsid w:val="712E4649"/>
    <w:rsid w:val="716167CC"/>
    <w:rsid w:val="71D172D1"/>
    <w:rsid w:val="71D46BA0"/>
    <w:rsid w:val="722A54E3"/>
    <w:rsid w:val="728F01CC"/>
    <w:rsid w:val="72EB4614"/>
    <w:rsid w:val="72F35087"/>
    <w:rsid w:val="73440153"/>
    <w:rsid w:val="73532145"/>
    <w:rsid w:val="73532556"/>
    <w:rsid w:val="7379604F"/>
    <w:rsid w:val="7406783B"/>
    <w:rsid w:val="74114085"/>
    <w:rsid w:val="74C0380A"/>
    <w:rsid w:val="751E69FC"/>
    <w:rsid w:val="75291564"/>
    <w:rsid w:val="75812F99"/>
    <w:rsid w:val="75AD6686"/>
    <w:rsid w:val="75DA5ED6"/>
    <w:rsid w:val="75EF084A"/>
    <w:rsid w:val="760F6550"/>
    <w:rsid w:val="76391937"/>
    <w:rsid w:val="76EF422D"/>
    <w:rsid w:val="76F123A0"/>
    <w:rsid w:val="7764387A"/>
    <w:rsid w:val="778B4A79"/>
    <w:rsid w:val="77C53D8B"/>
    <w:rsid w:val="77F447D7"/>
    <w:rsid w:val="77FE2FC7"/>
    <w:rsid w:val="780D4FB8"/>
    <w:rsid w:val="78114CDE"/>
    <w:rsid w:val="782D6F41"/>
    <w:rsid w:val="784A02E9"/>
    <w:rsid w:val="787D1F3D"/>
    <w:rsid w:val="78915BE9"/>
    <w:rsid w:val="789C675D"/>
    <w:rsid w:val="78A0407E"/>
    <w:rsid w:val="78A07BDA"/>
    <w:rsid w:val="79565B55"/>
    <w:rsid w:val="799C10CE"/>
    <w:rsid w:val="79EB1A11"/>
    <w:rsid w:val="7ACF47A6"/>
    <w:rsid w:val="7AEF1A3E"/>
    <w:rsid w:val="7B056566"/>
    <w:rsid w:val="7B884E69"/>
    <w:rsid w:val="7BCF6ABB"/>
    <w:rsid w:val="7C134B67"/>
    <w:rsid w:val="7C5709DE"/>
    <w:rsid w:val="7CBC54E8"/>
    <w:rsid w:val="7CC0500B"/>
    <w:rsid w:val="7CE92B94"/>
    <w:rsid w:val="7D091BD5"/>
    <w:rsid w:val="7E1E2B24"/>
    <w:rsid w:val="7E225420"/>
    <w:rsid w:val="7EA5419C"/>
    <w:rsid w:val="7EE433B1"/>
    <w:rsid w:val="7F01514B"/>
    <w:rsid w:val="7F3361BC"/>
    <w:rsid w:val="7F8738A2"/>
    <w:rsid w:val="7FB54E28"/>
    <w:rsid w:val="7FCE5C44"/>
    <w:rsid w:val="7FD23724"/>
    <w:rsid w:val="7FFC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7A3D8B"/>
  <w15:docId w15:val="{83D4E7FA-9609-475B-9797-0C8DC800B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78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4">
    <w:name w:val="Normal (Web)"/>
    <w:basedOn w:val="a"/>
    <w:uiPriority w:val="99"/>
    <w:unhideWhenUsed/>
    <w:rsid w:val="00484F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yangy\Desktop\&#31169;&#21215;&#37327;&#21270;&#22810;&#22836;\&#31169;&#21215;&#37327;&#21270;&#36873;&#32929;&#20135;&#21697;&#25910;&#30410;&#20449;&#24687;&#27719;&#24635;%20123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effectLst/>
      </c:spPr>
    </c:floor>
    <c:sideWall>
      <c:thickness val="0"/>
      <c:spPr>
        <a:noFill/>
        <a:effectLst/>
      </c:spPr>
    </c:sideWall>
    <c:backWall>
      <c:thickness val="0"/>
      <c:spPr>
        <a:noFill/>
        <a:effectLst/>
      </c:spPr>
    </c:backWall>
    <c:plotArea>
      <c:layout/>
      <c:pie3DChart>
        <c:varyColors val="1"/>
        <c:ser>
          <c:idx val="0"/>
          <c:order val="0"/>
          <c:tx>
            <c:strRef>
              <c:f>'[私募量化选股产品收益信息汇总 1231.xlsx]Sheet1'!$N$3</c:f>
              <c:strCache>
                <c:ptCount val="1"/>
                <c:pt idx="0">
                  <c:v>占比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contourW="25400"/>
          </c:spPr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1-F9A6-4F03-A244-61ACDED36B2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3-F9A6-4F03-A244-61ACDED36B2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5-F9A6-4F03-A244-61ACDED36B2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7-F9A6-4F03-A244-61ACDED36B2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9-F9A6-4F03-A244-61ACDED36B2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  <c:extLst>
              <c:ext xmlns:c16="http://schemas.microsoft.com/office/drawing/2014/chart" uri="{C3380CC4-5D6E-409C-BE32-E72D297353CC}">
                <c16:uniqueId val="{0000000B-F9A6-4F03-A244-61ACDED36B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'[私募量化选股产品收益信息汇总 1231.xlsx]Sheet1'!$M$4:$M$9</c:f>
              <c:strCache>
                <c:ptCount val="6"/>
                <c:pt idx="0">
                  <c:v>&gt;100</c:v>
                </c:pt>
                <c:pt idx="1">
                  <c:v>50-100</c:v>
                </c:pt>
                <c:pt idx="2">
                  <c:v>20-50</c:v>
                </c:pt>
                <c:pt idx="3">
                  <c:v>10-20</c:v>
                </c:pt>
                <c:pt idx="4">
                  <c:v>5-10</c:v>
                </c:pt>
                <c:pt idx="5">
                  <c:v>0-5</c:v>
                </c:pt>
              </c:strCache>
            </c:strRef>
          </c:cat>
          <c:val>
            <c:numRef>
              <c:f>'[私募量化选股产品收益信息汇总 1231.xlsx]Sheet1'!$N$4:$N$9</c:f>
              <c:numCache>
                <c:formatCode>0.00%</c:formatCode>
                <c:ptCount val="6"/>
                <c:pt idx="0">
                  <c:v>0.43580000000000002</c:v>
                </c:pt>
                <c:pt idx="1">
                  <c:v>5.5E-2</c:v>
                </c:pt>
                <c:pt idx="2">
                  <c:v>0.12839999999999999</c:v>
                </c:pt>
                <c:pt idx="3">
                  <c:v>6.4199999999999993E-2</c:v>
                </c:pt>
                <c:pt idx="4">
                  <c:v>5.0500000000000003E-2</c:v>
                </c:pt>
                <c:pt idx="5">
                  <c:v>0.2661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9A6-4F03-A244-61ACDED36B2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24481B-DB03-4183-8FA4-EFBB6BE73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10</Pages>
  <Words>2397</Words>
  <Characters>740</Characters>
  <Application>Microsoft Office Word</Application>
  <DocSecurity>0</DocSecurity>
  <Lines>6</Lines>
  <Paragraphs>6</Paragraphs>
  <ScaleCrop>false</ScaleCrop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yangy</dc:creator>
  <cp:lastModifiedBy>吴方方</cp:lastModifiedBy>
  <cp:revision>14</cp:revision>
  <dcterms:created xsi:type="dcterms:W3CDTF">2021-11-02T06:33:00Z</dcterms:created>
  <dcterms:modified xsi:type="dcterms:W3CDTF">2022-01-12T04:18:00Z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2D805EB48CEA4C52A6255BB2C2D0142C</vt:lpwstr>
  </property>
</Properties>
</file>